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8AFE6" w14:textId="77777777" w:rsidR="00781322" w:rsidRPr="00821A09" w:rsidRDefault="00781322" w:rsidP="00025EF0">
      <w:pPr>
        <w:jc w:val="both"/>
        <w:rPr>
          <w:b/>
          <w:sz w:val="24"/>
        </w:rPr>
      </w:pPr>
      <w:bookmarkStart w:id="0" w:name="s"/>
      <w:bookmarkEnd w:id="0"/>
    </w:p>
    <w:p w14:paraId="5060FCE5" w14:textId="77777777" w:rsidR="00781322" w:rsidRPr="00821A09" w:rsidRDefault="00781322" w:rsidP="00025EF0">
      <w:pPr>
        <w:jc w:val="both"/>
        <w:rPr>
          <w:b/>
          <w:sz w:val="24"/>
        </w:rPr>
      </w:pPr>
    </w:p>
    <w:p w14:paraId="1AD5D89E" w14:textId="77777777" w:rsidR="00781322" w:rsidRPr="00821A09" w:rsidRDefault="00781322" w:rsidP="00025EF0">
      <w:pPr>
        <w:jc w:val="both"/>
        <w:rPr>
          <w:b/>
          <w:sz w:val="24"/>
        </w:rPr>
      </w:pPr>
    </w:p>
    <w:p w14:paraId="18E3F68C" w14:textId="77777777" w:rsidR="00781322" w:rsidRPr="00821A09" w:rsidRDefault="00781322" w:rsidP="00025EF0">
      <w:pPr>
        <w:jc w:val="both"/>
        <w:rPr>
          <w:b/>
          <w:sz w:val="24"/>
        </w:rPr>
      </w:pPr>
    </w:p>
    <w:p w14:paraId="7C7627D5" w14:textId="77777777" w:rsidR="00781322" w:rsidRPr="00821A09" w:rsidRDefault="00781322" w:rsidP="00025EF0">
      <w:pPr>
        <w:jc w:val="both"/>
        <w:rPr>
          <w:b/>
          <w:sz w:val="24"/>
        </w:rPr>
      </w:pPr>
    </w:p>
    <w:p w14:paraId="5BE30173" w14:textId="77777777" w:rsidR="00781322" w:rsidRPr="00821A09" w:rsidRDefault="00781322" w:rsidP="00025EF0">
      <w:pPr>
        <w:jc w:val="both"/>
        <w:rPr>
          <w:b/>
          <w:sz w:val="24"/>
        </w:rPr>
      </w:pPr>
    </w:p>
    <w:p w14:paraId="365E61A4" w14:textId="77777777" w:rsidR="00263540" w:rsidRPr="00DF24DD" w:rsidRDefault="00263540" w:rsidP="00F00A20">
      <w:pPr>
        <w:jc w:val="center"/>
        <w:rPr>
          <w:rFonts w:ascii="Tahoma" w:hAnsi="Tahoma" w:cs="Tahoma"/>
          <w:b/>
          <w:sz w:val="27"/>
          <w:szCs w:val="27"/>
          <w:u w:val="single"/>
        </w:rPr>
      </w:pPr>
    </w:p>
    <w:p w14:paraId="5DD49570" w14:textId="65D3E6EB" w:rsidR="00263540" w:rsidRPr="0050567B" w:rsidRDefault="00263540" w:rsidP="00F00A20">
      <w:pPr>
        <w:jc w:val="center"/>
        <w:rPr>
          <w:rFonts w:ascii="Tahoma" w:hAnsi="Tahoma" w:cs="Tahoma"/>
          <w:b/>
          <w:sz w:val="27"/>
          <w:szCs w:val="27"/>
          <w:u w:val="single"/>
        </w:rPr>
      </w:pPr>
      <w:r w:rsidRPr="00DF24DD">
        <w:rPr>
          <w:rFonts w:ascii="Tahoma" w:hAnsi="Tahoma" w:cs="Tahoma"/>
          <w:b/>
          <w:sz w:val="27"/>
          <w:szCs w:val="27"/>
          <w:u w:val="single"/>
        </w:rPr>
        <w:t>A</w:t>
      </w:r>
      <w:r w:rsidR="0050567B" w:rsidRPr="00DF24DD">
        <w:rPr>
          <w:rFonts w:ascii="Tahoma" w:hAnsi="Tahoma" w:cs="Tahoma"/>
          <w:b/>
          <w:sz w:val="27"/>
          <w:szCs w:val="27"/>
          <w:u w:val="single"/>
        </w:rPr>
        <w:t>ppendiks F</w:t>
      </w:r>
      <w:r w:rsidR="0050567B" w:rsidRPr="00DF24DD">
        <w:rPr>
          <w:rFonts w:ascii="Tahoma" w:hAnsi="Tahoma" w:cs="Tahoma"/>
          <w:sz w:val="27"/>
          <w:szCs w:val="27"/>
        </w:rPr>
        <w:t xml:space="preserve"> </w:t>
      </w:r>
    </w:p>
    <w:p w14:paraId="3F75C0C1" w14:textId="77777777" w:rsidR="00263540" w:rsidRDefault="00263540" w:rsidP="00F00A20">
      <w:pPr>
        <w:jc w:val="center"/>
        <w:rPr>
          <w:rFonts w:ascii="Tahoma" w:hAnsi="Tahoma" w:cs="Tahoma"/>
          <w:b/>
          <w:sz w:val="27"/>
          <w:szCs w:val="27"/>
        </w:rPr>
      </w:pPr>
    </w:p>
    <w:p w14:paraId="310608C2" w14:textId="77777777" w:rsidR="00D74545" w:rsidRDefault="00D74545" w:rsidP="00F00A20">
      <w:pPr>
        <w:spacing w:before="100"/>
        <w:jc w:val="center"/>
        <w:rPr>
          <w:rFonts w:ascii="Tahoma" w:hAnsi="Tahoma" w:cs="Tahoma"/>
          <w:sz w:val="27"/>
          <w:szCs w:val="27"/>
          <w:lang w:val="da"/>
        </w:rPr>
      </w:pPr>
    </w:p>
    <w:p w14:paraId="23708880" w14:textId="1EFED38A" w:rsidR="00781322" w:rsidRPr="00344C9E" w:rsidRDefault="006E17EE" w:rsidP="00F00A20">
      <w:pPr>
        <w:spacing w:before="100"/>
        <w:jc w:val="center"/>
        <w:rPr>
          <w:rFonts w:ascii="Tahoma" w:hAnsi="Tahoma" w:cs="Tahoma"/>
          <w:sz w:val="27"/>
          <w:szCs w:val="27"/>
        </w:rPr>
      </w:pPr>
      <w:r>
        <w:rPr>
          <w:rFonts w:ascii="Tahoma" w:hAnsi="Tahoma" w:cs="Tahoma"/>
          <w:sz w:val="27"/>
          <w:szCs w:val="27"/>
          <w:lang w:val="da"/>
        </w:rPr>
        <w:t>Prisregulering</w:t>
      </w:r>
    </w:p>
    <w:p w14:paraId="2F316EEB" w14:textId="77777777" w:rsidR="00781322" w:rsidRPr="002C64DB" w:rsidRDefault="00781322" w:rsidP="00025EF0">
      <w:pPr>
        <w:pStyle w:val="Title"/>
        <w:jc w:val="both"/>
      </w:pPr>
    </w:p>
    <w:p w14:paraId="1678EDBD" w14:textId="5866E408" w:rsidR="00781322" w:rsidRPr="002C64DB" w:rsidRDefault="00F030BB" w:rsidP="00025EF0">
      <w:pPr>
        <w:jc w:val="both"/>
        <w:rPr>
          <w:b/>
          <w:caps/>
          <w:color w:val="3366FF"/>
          <w:sz w:val="24"/>
          <w:szCs w:val="24"/>
        </w:rPr>
      </w:pPr>
      <w:r w:rsidRPr="006260DB">
        <w:rPr>
          <w:rFonts w:ascii="Tahoma" w:hAnsi="Tahoma" w:cs="Tahoma"/>
          <w:noProof/>
          <w:kern w:val="28"/>
          <w:sz w:val="28"/>
          <w:szCs w:val="28"/>
          <w:lang w:val="da"/>
        </w:rPr>
        <w:t>Tekniske, medicinske og specielle gasser samt flaskeleje</w:t>
      </w:r>
    </w:p>
    <w:p w14:paraId="38452043" w14:textId="77777777" w:rsidR="00781322" w:rsidRPr="002C64DB" w:rsidRDefault="00781322" w:rsidP="00025EF0">
      <w:pPr>
        <w:pStyle w:val="TypografiUnderskriftCentreret"/>
        <w:jc w:val="both"/>
        <w:rPr>
          <w:b/>
          <w:sz w:val="28"/>
          <w:szCs w:val="28"/>
        </w:rPr>
      </w:pPr>
    </w:p>
    <w:p w14:paraId="4EF37172" w14:textId="77777777" w:rsidR="00781322" w:rsidRPr="002C64DB" w:rsidRDefault="00781322" w:rsidP="00025EF0">
      <w:pPr>
        <w:pStyle w:val="TypografiUnderskriftCentreret"/>
        <w:jc w:val="both"/>
        <w:rPr>
          <w:b/>
          <w:sz w:val="28"/>
          <w:szCs w:val="28"/>
        </w:rPr>
      </w:pPr>
    </w:p>
    <w:p w14:paraId="6C540AB6" w14:textId="77777777" w:rsidR="00781322" w:rsidRPr="002C64DB" w:rsidRDefault="00781322" w:rsidP="00025EF0">
      <w:pPr>
        <w:pStyle w:val="TypografiUnderskriftCentreret"/>
        <w:jc w:val="both"/>
        <w:rPr>
          <w:b/>
          <w:sz w:val="28"/>
          <w:szCs w:val="28"/>
        </w:rPr>
      </w:pPr>
    </w:p>
    <w:p w14:paraId="6F2BE253" w14:textId="77777777" w:rsidR="00781322" w:rsidRPr="002C64DB" w:rsidRDefault="00781322" w:rsidP="00025EF0">
      <w:pPr>
        <w:pStyle w:val="TypografiUnderskriftCentreret"/>
        <w:jc w:val="both"/>
        <w:rPr>
          <w:b/>
          <w:sz w:val="28"/>
          <w:szCs w:val="28"/>
        </w:rPr>
      </w:pPr>
    </w:p>
    <w:p w14:paraId="01966DE3" w14:textId="77777777" w:rsidR="00781322" w:rsidRPr="002C64DB" w:rsidRDefault="00781322" w:rsidP="00025EF0">
      <w:pPr>
        <w:pStyle w:val="TypografiUnderskriftCentreret"/>
        <w:jc w:val="both"/>
        <w:rPr>
          <w:b/>
          <w:sz w:val="28"/>
          <w:szCs w:val="28"/>
        </w:rPr>
      </w:pPr>
    </w:p>
    <w:p w14:paraId="030247F4" w14:textId="77777777" w:rsidR="00781322" w:rsidRPr="002C64DB" w:rsidRDefault="00781322" w:rsidP="00025EF0">
      <w:pPr>
        <w:spacing w:before="240" w:after="60"/>
        <w:jc w:val="both"/>
        <w:rPr>
          <w:i/>
          <w:color w:val="3366FF"/>
          <w:sz w:val="32"/>
          <w:szCs w:val="32"/>
        </w:rPr>
      </w:pPr>
      <w:bookmarkStart w:id="1" w:name="_GoBack"/>
      <w:bookmarkEnd w:id="1"/>
    </w:p>
    <w:p w14:paraId="098F0EBF" w14:textId="77777777" w:rsidR="00781322" w:rsidRPr="002C64DB" w:rsidRDefault="00781322" w:rsidP="00025EF0">
      <w:pPr>
        <w:spacing w:before="240" w:after="60"/>
        <w:jc w:val="both"/>
        <w:rPr>
          <w:color w:val="3366FF"/>
          <w:sz w:val="32"/>
          <w:szCs w:val="32"/>
        </w:rPr>
      </w:pPr>
    </w:p>
    <w:p w14:paraId="50356FB7" w14:textId="77777777" w:rsidR="001C6826" w:rsidRPr="002C64DB" w:rsidRDefault="00781322" w:rsidP="001C6826">
      <w:pPr>
        <w:spacing w:before="240" w:after="60" w:line="360" w:lineRule="auto"/>
        <w:jc w:val="both"/>
        <w:rPr>
          <w:rFonts w:ascii="Tahoma" w:hAnsi="Tahoma" w:cs="Tahoma"/>
          <w:b/>
          <w:caps/>
        </w:rPr>
      </w:pPr>
      <w:r>
        <w:rPr>
          <w:rFonts w:ascii="Tahoma" w:hAnsi="Tahoma"/>
          <w:color w:val="3366FF"/>
          <w:sz w:val="32"/>
          <w:szCs w:val="32"/>
          <w:lang w:val="da"/>
        </w:rPr>
        <w:br w:type="page"/>
      </w:r>
      <w:r>
        <w:rPr>
          <w:rFonts w:ascii="Tahoma" w:hAnsi="Tahoma"/>
          <w:b/>
          <w:bCs/>
          <w:caps/>
          <w:lang w:val="da"/>
        </w:rPr>
        <w:lastRenderedPageBreak/>
        <w:t>indholdsfortegnelse</w:t>
      </w:r>
    </w:p>
    <w:p w14:paraId="2D0BA522" w14:textId="77777777" w:rsidR="001C6826" w:rsidRPr="002C64DB" w:rsidRDefault="001C6826" w:rsidP="001C6826">
      <w:pPr>
        <w:spacing w:before="240" w:after="60" w:line="360" w:lineRule="auto"/>
        <w:jc w:val="both"/>
        <w:rPr>
          <w:rFonts w:ascii="Tahoma" w:hAnsi="Tahoma" w:cs="Tahoma"/>
          <w:b/>
          <w:caps/>
        </w:rPr>
      </w:pPr>
    </w:p>
    <w:p w14:paraId="3039B294" w14:textId="3166CB3A" w:rsidR="00D74545" w:rsidRDefault="00006243">
      <w:pPr>
        <w:pStyle w:val="TOC1"/>
        <w:tabs>
          <w:tab w:val="left" w:pos="567"/>
        </w:tabs>
        <w:rPr>
          <w:rFonts w:asciiTheme="minorHAnsi" w:eastAsiaTheme="minorEastAsia" w:hAnsiTheme="minorHAnsi" w:cstheme="minorBidi"/>
          <w:caps w:val="0"/>
          <w:noProof/>
          <w:sz w:val="22"/>
          <w:szCs w:val="22"/>
          <w:lang w:val="en-US" w:eastAsia="en-US"/>
        </w:rPr>
      </w:pPr>
      <w:r>
        <w:rPr>
          <w:rFonts w:ascii="Tahoma" w:hAnsi="Tahoma" w:cs="Tahoma"/>
          <w:b/>
          <w:bCs/>
          <w:color w:val="3366FF"/>
          <w:sz w:val="20"/>
          <w:lang w:val="da"/>
        </w:rPr>
        <w:fldChar w:fldCharType="begin"/>
      </w:r>
      <w:r>
        <w:rPr>
          <w:rFonts w:ascii="Tahoma" w:hAnsi="Tahoma" w:cs="Tahoma"/>
          <w:b/>
          <w:color w:val="3366FF"/>
          <w:sz w:val="20"/>
        </w:rPr>
        <w:instrText xml:space="preserve"> TOC \o "1-3" \h \z \u </w:instrText>
      </w:r>
      <w:r>
        <w:rPr>
          <w:rFonts w:ascii="Tahoma" w:hAnsi="Tahoma" w:cs="Tahoma"/>
          <w:b/>
          <w:color w:val="3366FF"/>
          <w:sz w:val="20"/>
        </w:rPr>
        <w:fldChar w:fldCharType="separate"/>
      </w:r>
      <w:hyperlink w:anchor="_Toc101833035" w:history="1">
        <w:r w:rsidR="00D74545" w:rsidRPr="009164F4">
          <w:rPr>
            <w:rStyle w:val="Hyperlink"/>
            <w:noProof/>
          </w:rPr>
          <w:t>1.</w:t>
        </w:r>
        <w:r w:rsidR="00D74545">
          <w:rPr>
            <w:rFonts w:asciiTheme="minorHAnsi" w:eastAsiaTheme="minorEastAsia" w:hAnsiTheme="minorHAnsi" w:cstheme="minorBidi"/>
            <w:caps w:val="0"/>
            <w:noProof/>
            <w:sz w:val="22"/>
            <w:szCs w:val="22"/>
            <w:lang w:val="en-US" w:eastAsia="en-US"/>
          </w:rPr>
          <w:tab/>
        </w:r>
        <w:r w:rsidR="00D74545" w:rsidRPr="009164F4">
          <w:rPr>
            <w:rStyle w:val="Hyperlink"/>
            <w:bCs/>
            <w:noProof/>
            <w:lang w:val="da"/>
          </w:rPr>
          <w:t>Prisregulering</w:t>
        </w:r>
        <w:r w:rsidR="00D74545">
          <w:rPr>
            <w:noProof/>
            <w:webHidden/>
          </w:rPr>
          <w:tab/>
        </w:r>
        <w:r w:rsidR="00D74545">
          <w:rPr>
            <w:noProof/>
            <w:webHidden/>
          </w:rPr>
          <w:fldChar w:fldCharType="begin"/>
        </w:r>
        <w:r w:rsidR="00D74545">
          <w:rPr>
            <w:noProof/>
            <w:webHidden/>
          </w:rPr>
          <w:instrText xml:space="preserve"> PAGEREF _Toc101833035 \h </w:instrText>
        </w:r>
        <w:r w:rsidR="00D74545">
          <w:rPr>
            <w:noProof/>
            <w:webHidden/>
          </w:rPr>
        </w:r>
        <w:r w:rsidR="00D74545">
          <w:rPr>
            <w:noProof/>
            <w:webHidden/>
          </w:rPr>
          <w:fldChar w:fldCharType="separate"/>
        </w:r>
        <w:r w:rsidR="00D74545">
          <w:rPr>
            <w:noProof/>
            <w:webHidden/>
          </w:rPr>
          <w:t>3</w:t>
        </w:r>
        <w:r w:rsidR="00D74545">
          <w:rPr>
            <w:noProof/>
            <w:webHidden/>
          </w:rPr>
          <w:fldChar w:fldCharType="end"/>
        </w:r>
      </w:hyperlink>
    </w:p>
    <w:p w14:paraId="3084A2C5" w14:textId="38E5F9C0" w:rsidR="00D74545" w:rsidRDefault="00425394">
      <w:pPr>
        <w:pStyle w:val="TOC2"/>
        <w:rPr>
          <w:rFonts w:asciiTheme="minorHAnsi" w:eastAsiaTheme="minorEastAsia" w:hAnsiTheme="minorHAnsi" w:cstheme="minorBidi"/>
          <w:noProof/>
          <w:sz w:val="22"/>
          <w:szCs w:val="22"/>
          <w:lang w:val="en-US" w:eastAsia="en-US"/>
        </w:rPr>
      </w:pPr>
      <w:hyperlink w:anchor="_Toc101833036" w:history="1">
        <w:r w:rsidR="00D74545" w:rsidRPr="009164F4">
          <w:rPr>
            <w:rStyle w:val="Hyperlink"/>
            <w:rFonts w:ascii="Tahoma" w:hAnsi="Tahoma"/>
            <w:noProof/>
          </w:rPr>
          <w:t>1.1</w:t>
        </w:r>
        <w:r w:rsidR="00D74545">
          <w:rPr>
            <w:rFonts w:asciiTheme="minorHAnsi" w:eastAsiaTheme="minorEastAsia" w:hAnsiTheme="minorHAnsi" w:cstheme="minorBidi"/>
            <w:noProof/>
            <w:sz w:val="22"/>
            <w:szCs w:val="22"/>
            <w:lang w:val="en-US" w:eastAsia="en-US"/>
          </w:rPr>
          <w:tab/>
        </w:r>
        <w:r w:rsidR="00D74545" w:rsidRPr="009164F4">
          <w:rPr>
            <w:rStyle w:val="Hyperlink"/>
            <w:rFonts w:ascii="Tahoma" w:hAnsi="Tahoma" w:cs="Tahoma"/>
            <w:bCs/>
            <w:noProof/>
            <w:lang w:val="da"/>
          </w:rPr>
          <w:t>Vilkår for regulering af priser</w:t>
        </w:r>
        <w:r w:rsidR="00D74545">
          <w:rPr>
            <w:noProof/>
            <w:webHidden/>
          </w:rPr>
          <w:tab/>
        </w:r>
        <w:r w:rsidR="00D74545">
          <w:rPr>
            <w:noProof/>
            <w:webHidden/>
          </w:rPr>
          <w:fldChar w:fldCharType="begin"/>
        </w:r>
        <w:r w:rsidR="00D74545">
          <w:rPr>
            <w:noProof/>
            <w:webHidden/>
          </w:rPr>
          <w:instrText xml:space="preserve"> PAGEREF _Toc101833036 \h </w:instrText>
        </w:r>
        <w:r w:rsidR="00D74545">
          <w:rPr>
            <w:noProof/>
            <w:webHidden/>
          </w:rPr>
        </w:r>
        <w:r w:rsidR="00D74545">
          <w:rPr>
            <w:noProof/>
            <w:webHidden/>
          </w:rPr>
          <w:fldChar w:fldCharType="separate"/>
        </w:r>
        <w:r w:rsidR="00D74545">
          <w:rPr>
            <w:noProof/>
            <w:webHidden/>
          </w:rPr>
          <w:t>3</w:t>
        </w:r>
        <w:r w:rsidR="00D74545">
          <w:rPr>
            <w:noProof/>
            <w:webHidden/>
          </w:rPr>
          <w:fldChar w:fldCharType="end"/>
        </w:r>
      </w:hyperlink>
    </w:p>
    <w:p w14:paraId="6B653296" w14:textId="3E98DAFD" w:rsidR="00D74545" w:rsidRDefault="00425394">
      <w:pPr>
        <w:pStyle w:val="TOC2"/>
        <w:rPr>
          <w:rFonts w:asciiTheme="minorHAnsi" w:eastAsiaTheme="minorEastAsia" w:hAnsiTheme="minorHAnsi" w:cstheme="minorBidi"/>
          <w:noProof/>
          <w:sz w:val="22"/>
          <w:szCs w:val="22"/>
          <w:lang w:val="en-US" w:eastAsia="en-US"/>
        </w:rPr>
      </w:pPr>
      <w:hyperlink w:anchor="_Toc101833037" w:history="1">
        <w:r w:rsidR="00D74545" w:rsidRPr="009164F4">
          <w:rPr>
            <w:rStyle w:val="Hyperlink"/>
            <w:rFonts w:ascii="Tahoma" w:hAnsi="Tahoma"/>
            <w:bCs/>
            <w:noProof/>
            <w:lang w:val="da"/>
          </w:rPr>
          <w:t>1.2</w:t>
        </w:r>
        <w:r w:rsidR="00D74545">
          <w:rPr>
            <w:rFonts w:asciiTheme="minorHAnsi" w:eastAsiaTheme="minorEastAsia" w:hAnsiTheme="minorHAnsi" w:cstheme="minorBidi"/>
            <w:noProof/>
            <w:sz w:val="22"/>
            <w:szCs w:val="22"/>
            <w:lang w:val="en-US" w:eastAsia="en-US"/>
          </w:rPr>
          <w:tab/>
        </w:r>
        <w:r w:rsidR="00D74545" w:rsidRPr="009164F4">
          <w:rPr>
            <w:rStyle w:val="Hyperlink"/>
            <w:rFonts w:ascii="Tahoma" w:hAnsi="Tahoma" w:cs="Tahoma"/>
            <w:bCs/>
            <w:noProof/>
            <w:lang w:val="da"/>
          </w:rPr>
          <w:t>Årlig prisregulering</w:t>
        </w:r>
        <w:r w:rsidR="00D74545">
          <w:rPr>
            <w:noProof/>
            <w:webHidden/>
          </w:rPr>
          <w:tab/>
        </w:r>
        <w:r w:rsidR="00D74545">
          <w:rPr>
            <w:noProof/>
            <w:webHidden/>
          </w:rPr>
          <w:fldChar w:fldCharType="begin"/>
        </w:r>
        <w:r w:rsidR="00D74545">
          <w:rPr>
            <w:noProof/>
            <w:webHidden/>
          </w:rPr>
          <w:instrText xml:space="preserve"> PAGEREF _Toc101833037 \h </w:instrText>
        </w:r>
        <w:r w:rsidR="00D74545">
          <w:rPr>
            <w:noProof/>
            <w:webHidden/>
          </w:rPr>
        </w:r>
        <w:r w:rsidR="00D74545">
          <w:rPr>
            <w:noProof/>
            <w:webHidden/>
          </w:rPr>
          <w:fldChar w:fldCharType="separate"/>
        </w:r>
        <w:r w:rsidR="00D74545">
          <w:rPr>
            <w:noProof/>
            <w:webHidden/>
          </w:rPr>
          <w:t>3</w:t>
        </w:r>
        <w:r w:rsidR="00D74545">
          <w:rPr>
            <w:noProof/>
            <w:webHidden/>
          </w:rPr>
          <w:fldChar w:fldCharType="end"/>
        </w:r>
      </w:hyperlink>
    </w:p>
    <w:p w14:paraId="24528839" w14:textId="76EE3770" w:rsidR="00D74545" w:rsidRDefault="00425394">
      <w:pPr>
        <w:pStyle w:val="TOC2"/>
        <w:rPr>
          <w:rFonts w:asciiTheme="minorHAnsi" w:eastAsiaTheme="minorEastAsia" w:hAnsiTheme="minorHAnsi" w:cstheme="minorBidi"/>
          <w:noProof/>
          <w:sz w:val="22"/>
          <w:szCs w:val="22"/>
          <w:lang w:val="en-US" w:eastAsia="en-US"/>
        </w:rPr>
      </w:pPr>
      <w:hyperlink w:anchor="_Toc101833038" w:history="1">
        <w:r w:rsidR="00D74545" w:rsidRPr="009164F4">
          <w:rPr>
            <w:rStyle w:val="Hyperlink"/>
            <w:rFonts w:ascii="Tahoma" w:hAnsi="Tahoma"/>
            <w:noProof/>
          </w:rPr>
          <w:t>1.3</w:t>
        </w:r>
        <w:r w:rsidR="00D74545">
          <w:rPr>
            <w:rFonts w:asciiTheme="minorHAnsi" w:eastAsiaTheme="minorEastAsia" w:hAnsiTheme="minorHAnsi" w:cstheme="minorBidi"/>
            <w:noProof/>
            <w:sz w:val="22"/>
            <w:szCs w:val="22"/>
            <w:lang w:val="en-US" w:eastAsia="en-US"/>
          </w:rPr>
          <w:tab/>
        </w:r>
        <w:r w:rsidR="00D74545" w:rsidRPr="009164F4">
          <w:rPr>
            <w:rStyle w:val="Hyperlink"/>
            <w:rFonts w:ascii="Tahoma" w:hAnsi="Tahoma" w:cs="Tahoma"/>
            <w:bCs/>
            <w:noProof/>
            <w:lang w:val="da"/>
          </w:rPr>
          <w:t>Betinget kvartalsvis prisregulering</w:t>
        </w:r>
        <w:r w:rsidR="00D74545">
          <w:rPr>
            <w:noProof/>
            <w:webHidden/>
          </w:rPr>
          <w:tab/>
        </w:r>
        <w:r w:rsidR="00D74545">
          <w:rPr>
            <w:noProof/>
            <w:webHidden/>
          </w:rPr>
          <w:fldChar w:fldCharType="begin"/>
        </w:r>
        <w:r w:rsidR="00D74545">
          <w:rPr>
            <w:noProof/>
            <w:webHidden/>
          </w:rPr>
          <w:instrText xml:space="preserve"> PAGEREF _Toc101833038 \h </w:instrText>
        </w:r>
        <w:r w:rsidR="00D74545">
          <w:rPr>
            <w:noProof/>
            <w:webHidden/>
          </w:rPr>
        </w:r>
        <w:r w:rsidR="00D74545">
          <w:rPr>
            <w:noProof/>
            <w:webHidden/>
          </w:rPr>
          <w:fldChar w:fldCharType="separate"/>
        </w:r>
        <w:r w:rsidR="00D74545">
          <w:rPr>
            <w:noProof/>
            <w:webHidden/>
          </w:rPr>
          <w:t>4</w:t>
        </w:r>
        <w:r w:rsidR="00D74545">
          <w:rPr>
            <w:noProof/>
            <w:webHidden/>
          </w:rPr>
          <w:fldChar w:fldCharType="end"/>
        </w:r>
      </w:hyperlink>
    </w:p>
    <w:p w14:paraId="0D40C38F" w14:textId="31F0D921" w:rsidR="00D74545" w:rsidRDefault="00425394">
      <w:pPr>
        <w:pStyle w:val="TOC2"/>
        <w:rPr>
          <w:rFonts w:asciiTheme="minorHAnsi" w:eastAsiaTheme="minorEastAsia" w:hAnsiTheme="minorHAnsi" w:cstheme="minorBidi"/>
          <w:noProof/>
          <w:sz w:val="22"/>
          <w:szCs w:val="22"/>
          <w:lang w:val="en-US" w:eastAsia="en-US"/>
        </w:rPr>
      </w:pPr>
      <w:hyperlink w:anchor="_Toc101833039" w:history="1">
        <w:r w:rsidR="00D74545" w:rsidRPr="009164F4">
          <w:rPr>
            <w:rStyle w:val="Hyperlink"/>
            <w:rFonts w:ascii="Tahoma" w:hAnsi="Tahoma"/>
            <w:noProof/>
          </w:rPr>
          <w:t>1.4</w:t>
        </w:r>
        <w:r w:rsidR="00D74545">
          <w:rPr>
            <w:rFonts w:asciiTheme="minorHAnsi" w:eastAsiaTheme="minorEastAsia" w:hAnsiTheme="minorHAnsi" w:cstheme="minorBidi"/>
            <w:noProof/>
            <w:sz w:val="22"/>
            <w:szCs w:val="22"/>
            <w:lang w:val="en-US" w:eastAsia="en-US"/>
          </w:rPr>
          <w:tab/>
        </w:r>
        <w:r w:rsidR="00D74545" w:rsidRPr="009164F4">
          <w:rPr>
            <w:rStyle w:val="Hyperlink"/>
            <w:rFonts w:ascii="Tahoma" w:hAnsi="Tahoma" w:cs="Tahoma"/>
            <w:bCs/>
            <w:noProof/>
            <w:lang w:val="da"/>
          </w:rPr>
          <w:t>Indeks og formel for prisregulering</w:t>
        </w:r>
        <w:r w:rsidR="00D74545">
          <w:rPr>
            <w:noProof/>
            <w:webHidden/>
          </w:rPr>
          <w:tab/>
        </w:r>
        <w:r w:rsidR="00D74545">
          <w:rPr>
            <w:noProof/>
            <w:webHidden/>
          </w:rPr>
          <w:fldChar w:fldCharType="begin"/>
        </w:r>
        <w:r w:rsidR="00D74545">
          <w:rPr>
            <w:noProof/>
            <w:webHidden/>
          </w:rPr>
          <w:instrText xml:space="preserve"> PAGEREF _Toc101833039 \h </w:instrText>
        </w:r>
        <w:r w:rsidR="00D74545">
          <w:rPr>
            <w:noProof/>
            <w:webHidden/>
          </w:rPr>
        </w:r>
        <w:r w:rsidR="00D74545">
          <w:rPr>
            <w:noProof/>
            <w:webHidden/>
          </w:rPr>
          <w:fldChar w:fldCharType="separate"/>
        </w:r>
        <w:r w:rsidR="00D74545">
          <w:rPr>
            <w:noProof/>
            <w:webHidden/>
          </w:rPr>
          <w:t>5</w:t>
        </w:r>
        <w:r w:rsidR="00D74545">
          <w:rPr>
            <w:noProof/>
            <w:webHidden/>
          </w:rPr>
          <w:fldChar w:fldCharType="end"/>
        </w:r>
      </w:hyperlink>
    </w:p>
    <w:p w14:paraId="089AF80E" w14:textId="7548E2CA" w:rsidR="00D74545" w:rsidRDefault="00425394">
      <w:pPr>
        <w:pStyle w:val="TOC2"/>
        <w:rPr>
          <w:rFonts w:asciiTheme="minorHAnsi" w:eastAsiaTheme="minorEastAsia" w:hAnsiTheme="minorHAnsi" w:cstheme="minorBidi"/>
          <w:noProof/>
          <w:sz w:val="22"/>
          <w:szCs w:val="22"/>
          <w:lang w:val="en-US" w:eastAsia="en-US"/>
        </w:rPr>
      </w:pPr>
      <w:hyperlink w:anchor="_Toc101833040" w:history="1">
        <w:r w:rsidR="00D74545" w:rsidRPr="009164F4">
          <w:rPr>
            <w:rStyle w:val="Hyperlink"/>
            <w:rFonts w:ascii="Tahoma" w:hAnsi="Tahoma"/>
            <w:bCs/>
            <w:noProof/>
            <w:lang w:val="da"/>
          </w:rPr>
          <w:t>1.5</w:t>
        </w:r>
        <w:r w:rsidR="00D74545">
          <w:rPr>
            <w:rFonts w:asciiTheme="minorHAnsi" w:eastAsiaTheme="minorEastAsia" w:hAnsiTheme="minorHAnsi" w:cstheme="minorBidi"/>
            <w:noProof/>
            <w:sz w:val="22"/>
            <w:szCs w:val="22"/>
            <w:lang w:val="en-US" w:eastAsia="en-US"/>
          </w:rPr>
          <w:tab/>
        </w:r>
        <w:r w:rsidR="00D74545" w:rsidRPr="009164F4">
          <w:rPr>
            <w:rStyle w:val="Hyperlink"/>
            <w:rFonts w:ascii="Tahoma" w:hAnsi="Tahoma" w:cs="Tahoma"/>
            <w:bCs/>
            <w:noProof/>
            <w:lang w:val="da"/>
          </w:rPr>
          <w:t>Eksempel på prisreguleringsdatoer</w:t>
        </w:r>
        <w:r w:rsidR="00D74545">
          <w:rPr>
            <w:noProof/>
            <w:webHidden/>
          </w:rPr>
          <w:tab/>
        </w:r>
        <w:r w:rsidR="00D74545">
          <w:rPr>
            <w:noProof/>
            <w:webHidden/>
          </w:rPr>
          <w:fldChar w:fldCharType="begin"/>
        </w:r>
        <w:r w:rsidR="00D74545">
          <w:rPr>
            <w:noProof/>
            <w:webHidden/>
          </w:rPr>
          <w:instrText xml:space="preserve"> PAGEREF _Toc101833040 \h </w:instrText>
        </w:r>
        <w:r w:rsidR="00D74545">
          <w:rPr>
            <w:noProof/>
            <w:webHidden/>
          </w:rPr>
        </w:r>
        <w:r w:rsidR="00D74545">
          <w:rPr>
            <w:noProof/>
            <w:webHidden/>
          </w:rPr>
          <w:fldChar w:fldCharType="separate"/>
        </w:r>
        <w:r w:rsidR="00D74545">
          <w:rPr>
            <w:noProof/>
            <w:webHidden/>
          </w:rPr>
          <w:t>7</w:t>
        </w:r>
        <w:r w:rsidR="00D74545">
          <w:rPr>
            <w:noProof/>
            <w:webHidden/>
          </w:rPr>
          <w:fldChar w:fldCharType="end"/>
        </w:r>
      </w:hyperlink>
    </w:p>
    <w:p w14:paraId="0358501F" w14:textId="77777777" w:rsidR="001C6826" w:rsidRPr="00821A09" w:rsidRDefault="00006243" w:rsidP="001C6826">
      <w:pPr>
        <w:spacing w:before="240" w:after="60" w:line="360" w:lineRule="auto"/>
        <w:jc w:val="both"/>
        <w:rPr>
          <w:rFonts w:ascii="Tahoma" w:hAnsi="Tahoma" w:cs="Tahoma"/>
          <w:color w:val="3366FF"/>
        </w:rPr>
      </w:pPr>
      <w:r>
        <w:rPr>
          <w:rFonts w:ascii="Tahoma" w:hAnsi="Tahoma" w:cs="Tahoma"/>
          <w:b/>
          <w:color w:val="3366FF"/>
        </w:rPr>
        <w:fldChar w:fldCharType="end"/>
      </w:r>
    </w:p>
    <w:p w14:paraId="6E066942" w14:textId="77777777" w:rsidR="001C6826" w:rsidRPr="00821A09" w:rsidRDefault="001C6826" w:rsidP="001C6826">
      <w:pPr>
        <w:pStyle w:val="Heading1"/>
      </w:pPr>
      <w:r>
        <w:rPr>
          <w:b w:val="0"/>
          <w:color w:val="3366FF"/>
          <w:lang w:val="da"/>
        </w:rPr>
        <w:br w:type="page"/>
      </w:r>
      <w:bookmarkStart w:id="2" w:name="_Toc101833035"/>
      <w:r>
        <w:rPr>
          <w:bCs/>
          <w:lang w:val="da"/>
        </w:rPr>
        <w:lastRenderedPageBreak/>
        <w:t>Prisregulering</w:t>
      </w:r>
      <w:bookmarkEnd w:id="2"/>
    </w:p>
    <w:p w14:paraId="07010B6E" w14:textId="77777777" w:rsidR="001C6826" w:rsidRPr="00821A09" w:rsidRDefault="001C6826" w:rsidP="001C6826">
      <w:pPr>
        <w:pStyle w:val="Heading2"/>
        <w:spacing w:line="360" w:lineRule="auto"/>
        <w:jc w:val="both"/>
        <w:rPr>
          <w:rFonts w:ascii="Tahoma" w:hAnsi="Tahoma" w:cs="Tahoma"/>
          <w:sz w:val="20"/>
          <w:szCs w:val="20"/>
          <w:u w:val="none"/>
        </w:rPr>
      </w:pPr>
      <w:bookmarkStart w:id="3" w:name="_Toc101833036"/>
      <w:r>
        <w:rPr>
          <w:rFonts w:ascii="Tahoma" w:hAnsi="Tahoma" w:cs="Tahoma"/>
          <w:bCs/>
          <w:sz w:val="20"/>
          <w:szCs w:val="20"/>
          <w:u w:val="none"/>
          <w:lang w:val="da"/>
        </w:rPr>
        <w:t>Vilkår for regulering af priser</w:t>
      </w:r>
      <w:bookmarkEnd w:id="3"/>
    </w:p>
    <w:p w14:paraId="4E203794" w14:textId="77777777" w:rsidR="00CC1054" w:rsidRDefault="00CC1054" w:rsidP="00FB572B">
      <w:pPr>
        <w:spacing w:line="360" w:lineRule="auto"/>
        <w:ind w:left="567"/>
        <w:jc w:val="both"/>
        <w:rPr>
          <w:rFonts w:ascii="Tahoma" w:hAnsi="Tahoma" w:cs="Tahoma"/>
          <w:lang w:val="da"/>
        </w:rPr>
      </w:pPr>
      <w:r>
        <w:rPr>
          <w:rFonts w:ascii="Tahoma" w:hAnsi="Tahoma" w:cs="Tahoma"/>
          <w:lang w:val="da"/>
        </w:rPr>
        <w:t>Der er adgang til p</w:t>
      </w:r>
      <w:r w:rsidR="007F3DF5">
        <w:rPr>
          <w:rFonts w:ascii="Tahoma" w:hAnsi="Tahoma" w:cs="Tahoma"/>
          <w:lang w:val="da"/>
        </w:rPr>
        <w:t>risregulering 1 (en) gang årligt, første gang 12 måneder efter Ikrafttrædelse af Aftalen</w:t>
      </w:r>
      <w:r w:rsidR="00E03D09">
        <w:rPr>
          <w:rFonts w:ascii="Tahoma" w:hAnsi="Tahoma" w:cs="Tahoma"/>
          <w:lang w:val="da"/>
        </w:rPr>
        <w:t>, jf. Afsnit 1.2</w:t>
      </w:r>
      <w:r w:rsidR="007F3DF5">
        <w:rPr>
          <w:rFonts w:ascii="Tahoma" w:hAnsi="Tahoma" w:cs="Tahoma"/>
          <w:lang w:val="da"/>
        </w:rPr>
        <w:t xml:space="preserve">. </w:t>
      </w:r>
    </w:p>
    <w:p w14:paraId="45010095" w14:textId="77777777" w:rsidR="00B76C68" w:rsidRDefault="00B76C68" w:rsidP="00FB572B">
      <w:pPr>
        <w:spacing w:line="360" w:lineRule="auto"/>
        <w:ind w:left="567"/>
        <w:jc w:val="both"/>
        <w:rPr>
          <w:rFonts w:ascii="Tahoma" w:hAnsi="Tahoma" w:cs="Tahoma"/>
          <w:lang w:val="da"/>
        </w:rPr>
      </w:pPr>
    </w:p>
    <w:p w14:paraId="52802979" w14:textId="73A90B71" w:rsidR="00CC1054" w:rsidRDefault="00CC1054" w:rsidP="00FB572B">
      <w:pPr>
        <w:spacing w:line="360" w:lineRule="auto"/>
        <w:ind w:left="567"/>
        <w:jc w:val="both"/>
        <w:rPr>
          <w:rFonts w:ascii="Tahoma" w:hAnsi="Tahoma" w:cs="Tahoma"/>
          <w:lang w:val="da"/>
        </w:rPr>
      </w:pPr>
      <w:r w:rsidRPr="00CC1054">
        <w:rPr>
          <w:rFonts w:ascii="Tahoma" w:hAnsi="Tahoma" w:cs="Tahoma"/>
          <w:lang w:val="da"/>
        </w:rPr>
        <w:t>Ud</w:t>
      </w:r>
      <w:r w:rsidR="00F25170">
        <w:rPr>
          <w:rFonts w:ascii="Tahoma" w:hAnsi="Tahoma" w:cs="Tahoma"/>
          <w:lang w:val="da"/>
        </w:rPr>
        <w:t xml:space="preserve"> over den årlige prisregulering</w:t>
      </w:r>
      <w:r w:rsidRPr="00CC1054">
        <w:rPr>
          <w:rFonts w:ascii="Tahoma" w:hAnsi="Tahoma" w:cs="Tahoma"/>
          <w:lang w:val="da"/>
        </w:rPr>
        <w:t xml:space="preserve"> kan der foretages </w:t>
      </w:r>
      <w:r w:rsidR="005537EC">
        <w:rPr>
          <w:rFonts w:ascii="Tahoma" w:hAnsi="Tahoma" w:cs="Tahoma"/>
          <w:lang w:val="da"/>
        </w:rPr>
        <w:t>halvårlig</w:t>
      </w:r>
      <w:r w:rsidRPr="00CC1054">
        <w:rPr>
          <w:rFonts w:ascii="Tahoma" w:hAnsi="Tahoma" w:cs="Tahoma"/>
          <w:lang w:val="da"/>
        </w:rPr>
        <w:t xml:space="preserve"> regulering, såfremt betingelser</w:t>
      </w:r>
      <w:r w:rsidR="00FB572B">
        <w:rPr>
          <w:rFonts w:ascii="Tahoma" w:hAnsi="Tahoma" w:cs="Tahoma"/>
          <w:lang w:val="da"/>
        </w:rPr>
        <w:t>ne</w:t>
      </w:r>
      <w:r w:rsidRPr="00CC1054">
        <w:rPr>
          <w:rFonts w:ascii="Tahoma" w:hAnsi="Tahoma" w:cs="Tahoma"/>
          <w:lang w:val="da"/>
        </w:rPr>
        <w:t xml:space="preserve"> angivet i afsnit </w:t>
      </w:r>
      <w:r w:rsidR="00FB572B">
        <w:rPr>
          <w:rFonts w:ascii="Tahoma" w:hAnsi="Tahoma" w:cs="Tahoma"/>
          <w:lang w:val="da"/>
        </w:rPr>
        <w:t>1.3</w:t>
      </w:r>
      <w:r w:rsidRPr="00CC1054">
        <w:rPr>
          <w:rFonts w:ascii="Tahoma" w:hAnsi="Tahoma" w:cs="Tahoma"/>
          <w:lang w:val="da"/>
        </w:rPr>
        <w:t xml:space="preserve"> er opfyldt</w:t>
      </w:r>
      <w:r>
        <w:rPr>
          <w:rFonts w:ascii="Tahoma" w:hAnsi="Tahoma" w:cs="Tahoma"/>
          <w:lang w:val="da"/>
        </w:rPr>
        <w:t>.</w:t>
      </w:r>
    </w:p>
    <w:p w14:paraId="19C3DC87" w14:textId="77777777" w:rsidR="00B76C68" w:rsidRDefault="00B76C68" w:rsidP="00FB572B">
      <w:pPr>
        <w:spacing w:line="360" w:lineRule="auto"/>
        <w:ind w:left="567"/>
        <w:jc w:val="both"/>
        <w:rPr>
          <w:rFonts w:ascii="Tahoma" w:hAnsi="Tahoma" w:cs="Tahoma"/>
          <w:lang w:val="da"/>
        </w:rPr>
      </w:pPr>
    </w:p>
    <w:p w14:paraId="09EFEB28" w14:textId="64DF38AD" w:rsidR="00FE003E" w:rsidRDefault="00FE003E" w:rsidP="00FB572B">
      <w:pPr>
        <w:spacing w:line="360" w:lineRule="auto"/>
        <w:ind w:left="567"/>
        <w:jc w:val="both"/>
        <w:rPr>
          <w:rFonts w:ascii="Tahoma" w:hAnsi="Tahoma" w:cs="Tahoma"/>
          <w:lang w:val="da"/>
        </w:rPr>
      </w:pPr>
      <w:r w:rsidRPr="00CC1054">
        <w:rPr>
          <w:rFonts w:ascii="Tahoma" w:hAnsi="Tahoma" w:cs="Tahoma"/>
          <w:lang w:val="da"/>
        </w:rPr>
        <w:t xml:space="preserve">Priserne </w:t>
      </w:r>
      <w:r w:rsidRPr="00DF24DD">
        <w:rPr>
          <w:rFonts w:ascii="Tahoma" w:hAnsi="Tahoma" w:cs="Tahoma"/>
          <w:lang w:val="da"/>
        </w:rPr>
        <w:t xml:space="preserve">i </w:t>
      </w:r>
      <w:r w:rsidR="00D205AD">
        <w:rPr>
          <w:rFonts w:ascii="Tahoma" w:hAnsi="Tahoma" w:cs="Tahoma"/>
          <w:lang w:val="da"/>
        </w:rPr>
        <w:t>Appendi</w:t>
      </w:r>
      <w:r w:rsidR="00A7285A">
        <w:rPr>
          <w:rFonts w:ascii="Tahoma" w:hAnsi="Tahoma" w:cs="Tahoma"/>
          <w:lang w:val="da"/>
        </w:rPr>
        <w:t>ks</w:t>
      </w:r>
      <w:r w:rsidR="00D205AD">
        <w:rPr>
          <w:rFonts w:ascii="Tahoma" w:hAnsi="Tahoma" w:cs="Tahoma"/>
          <w:lang w:val="da"/>
        </w:rPr>
        <w:t xml:space="preserve"> C.1</w:t>
      </w:r>
      <w:r w:rsidRPr="00DF24DD">
        <w:rPr>
          <w:rFonts w:ascii="Tahoma" w:hAnsi="Tahoma" w:cs="Tahoma"/>
          <w:lang w:val="da"/>
        </w:rPr>
        <w:t xml:space="preserve"> er</w:t>
      </w:r>
      <w:r w:rsidR="00CC1054" w:rsidRPr="00DF24DD">
        <w:rPr>
          <w:rFonts w:ascii="Tahoma" w:hAnsi="Tahoma" w:cs="Tahoma"/>
          <w:lang w:val="da"/>
        </w:rPr>
        <w:t xml:space="preserve"> dog</w:t>
      </w:r>
      <w:r w:rsidRPr="00CC1054">
        <w:rPr>
          <w:rFonts w:ascii="Tahoma" w:hAnsi="Tahoma" w:cs="Tahoma"/>
          <w:lang w:val="da"/>
        </w:rPr>
        <w:t xml:space="preserve"> faste i de første </w:t>
      </w:r>
      <w:r w:rsidR="007F3DF5" w:rsidRPr="00CC1054">
        <w:rPr>
          <w:rFonts w:ascii="Tahoma" w:hAnsi="Tahoma" w:cs="Tahoma"/>
          <w:lang w:val="da"/>
        </w:rPr>
        <w:t xml:space="preserve">6 </w:t>
      </w:r>
      <w:r w:rsidRPr="00CC1054">
        <w:rPr>
          <w:rFonts w:ascii="Tahoma" w:hAnsi="Tahoma" w:cs="Tahoma"/>
          <w:lang w:val="da"/>
        </w:rPr>
        <w:t>(</w:t>
      </w:r>
      <w:r w:rsidR="007F3DF5" w:rsidRPr="00CC1054">
        <w:rPr>
          <w:rFonts w:ascii="Tahoma" w:hAnsi="Tahoma" w:cs="Tahoma"/>
          <w:lang w:val="da"/>
        </w:rPr>
        <w:t>seks</w:t>
      </w:r>
      <w:r w:rsidRPr="00CC1054">
        <w:rPr>
          <w:rFonts w:ascii="Tahoma" w:hAnsi="Tahoma" w:cs="Tahoma"/>
          <w:lang w:val="da"/>
        </w:rPr>
        <w:t>) måneder efter Ikrafttræden</w:t>
      </w:r>
      <w:r w:rsidR="00B76C68">
        <w:rPr>
          <w:rFonts w:ascii="Tahoma" w:hAnsi="Tahoma" w:cs="Tahoma"/>
          <w:lang w:val="da"/>
        </w:rPr>
        <w:t>, hvorefter prisreguleringen kan ske efter betingelserne i afsnit</w:t>
      </w:r>
      <w:r w:rsidR="00DF24DD">
        <w:rPr>
          <w:rFonts w:ascii="Tahoma" w:hAnsi="Tahoma" w:cs="Tahoma"/>
          <w:lang w:val="da"/>
        </w:rPr>
        <w:t xml:space="preserve"> 1.2 og</w:t>
      </w:r>
      <w:r w:rsidR="00B76C68">
        <w:rPr>
          <w:rFonts w:ascii="Tahoma" w:hAnsi="Tahoma" w:cs="Tahoma"/>
          <w:lang w:val="da"/>
        </w:rPr>
        <w:t xml:space="preserve"> 1.3</w:t>
      </w:r>
      <w:r w:rsidRPr="00CC1054">
        <w:rPr>
          <w:rFonts w:ascii="Tahoma" w:hAnsi="Tahoma" w:cs="Tahoma"/>
          <w:lang w:val="da"/>
        </w:rPr>
        <w:t xml:space="preserve">. </w:t>
      </w:r>
    </w:p>
    <w:p w14:paraId="541D1547" w14:textId="77777777" w:rsidR="00B76C68" w:rsidRDefault="00B76C68" w:rsidP="00FB572B">
      <w:pPr>
        <w:spacing w:line="360" w:lineRule="auto"/>
        <w:ind w:left="567"/>
        <w:jc w:val="both"/>
        <w:rPr>
          <w:rFonts w:ascii="Tahoma" w:hAnsi="Tahoma" w:cs="Tahoma"/>
          <w:lang w:val="da"/>
        </w:rPr>
      </w:pPr>
    </w:p>
    <w:p w14:paraId="7AC62406" w14:textId="77777777" w:rsidR="00CC1054" w:rsidRPr="00CC1054" w:rsidRDefault="00CC1054" w:rsidP="00FB572B">
      <w:pPr>
        <w:spacing w:line="360" w:lineRule="auto"/>
        <w:ind w:left="567"/>
        <w:jc w:val="both"/>
        <w:rPr>
          <w:rFonts w:ascii="Tahoma" w:hAnsi="Tahoma" w:cs="Tahoma"/>
          <w:lang w:val="da"/>
        </w:rPr>
      </w:pPr>
      <w:r>
        <w:rPr>
          <w:rFonts w:ascii="Tahoma" w:hAnsi="Tahoma" w:cs="Tahoma"/>
          <w:lang w:val="da"/>
        </w:rPr>
        <w:t>Prisregulering kan kun finde sted for fremtidige priser.</w:t>
      </w:r>
    </w:p>
    <w:p w14:paraId="1E60F537" w14:textId="77777777" w:rsidR="001C6826" w:rsidRPr="00AF62F1" w:rsidRDefault="001C6826" w:rsidP="001C6826">
      <w:pPr>
        <w:ind w:left="567"/>
        <w:rPr>
          <w:rFonts w:ascii="Tahoma" w:hAnsi="Tahoma" w:cs="Tahoma"/>
        </w:rPr>
      </w:pPr>
    </w:p>
    <w:p w14:paraId="6655C5A4" w14:textId="3A497CDD" w:rsidR="005537EC" w:rsidRDefault="001C6826" w:rsidP="001C6826">
      <w:pPr>
        <w:spacing w:line="360" w:lineRule="auto"/>
        <w:ind w:left="567"/>
        <w:rPr>
          <w:rFonts w:ascii="Tahoma" w:hAnsi="Tahoma" w:cs="Tahoma"/>
          <w:lang w:val="da"/>
        </w:rPr>
      </w:pPr>
      <w:r>
        <w:rPr>
          <w:rFonts w:ascii="Tahoma" w:hAnsi="Tahoma" w:cs="Tahoma"/>
          <w:lang w:val="da"/>
        </w:rPr>
        <w:t xml:space="preserve">Prisreguleringen </w:t>
      </w:r>
      <w:r w:rsidR="00F25170">
        <w:rPr>
          <w:rFonts w:ascii="Tahoma" w:hAnsi="Tahoma" w:cs="Tahoma"/>
          <w:lang w:val="da"/>
        </w:rPr>
        <w:t xml:space="preserve">omfatter </w:t>
      </w:r>
      <w:r w:rsidR="005537EC">
        <w:rPr>
          <w:rFonts w:ascii="Tahoma" w:hAnsi="Tahoma" w:cs="Tahoma"/>
          <w:lang w:val="da"/>
        </w:rPr>
        <w:t>alle varer i Appendiks C.1 i kolonne L under fanebladet ”Gasser under evaluering”</w:t>
      </w:r>
    </w:p>
    <w:p w14:paraId="216FE54F" w14:textId="77777777" w:rsidR="001C6826" w:rsidRDefault="001C6826" w:rsidP="001C6826">
      <w:pPr>
        <w:spacing w:line="360" w:lineRule="auto"/>
        <w:ind w:left="567"/>
        <w:jc w:val="both"/>
        <w:rPr>
          <w:rFonts w:ascii="Tahoma" w:hAnsi="Tahoma" w:cs="Tahoma"/>
        </w:rPr>
      </w:pPr>
      <w:r>
        <w:rPr>
          <w:rFonts w:ascii="Tahoma" w:hAnsi="Tahoma" w:cs="Tahoma"/>
          <w:lang w:val="da"/>
        </w:rPr>
        <w:t>Ved fejl i de regulerede priser, skal priserne rettes.</w:t>
      </w:r>
    </w:p>
    <w:p w14:paraId="5CBCBAA6" w14:textId="77777777" w:rsidR="001C6826" w:rsidRDefault="001C6826" w:rsidP="001C6826">
      <w:pPr>
        <w:spacing w:line="360" w:lineRule="auto"/>
        <w:ind w:left="567"/>
        <w:jc w:val="both"/>
        <w:rPr>
          <w:rFonts w:ascii="Tahoma" w:hAnsi="Tahoma" w:cs="Tahoma"/>
        </w:rPr>
      </w:pPr>
    </w:p>
    <w:p w14:paraId="4F515FED" w14:textId="77777777" w:rsidR="001C6826" w:rsidRDefault="001C6826" w:rsidP="001C6826">
      <w:pPr>
        <w:spacing w:line="360" w:lineRule="auto"/>
        <w:ind w:left="567"/>
        <w:jc w:val="both"/>
        <w:rPr>
          <w:rFonts w:ascii="Tahoma" w:hAnsi="Tahoma" w:cs="Tahoma"/>
        </w:rPr>
      </w:pPr>
      <w:r>
        <w:rPr>
          <w:rFonts w:ascii="Tahoma" w:hAnsi="Tahoma" w:cs="Tahoma"/>
          <w:lang w:val="da"/>
        </w:rPr>
        <w:t>Hvis priserne har været for høje, skal Leverandøren tilbagebetale de beløb</w:t>
      </w:r>
      <w:r w:rsidR="004C0CE2">
        <w:rPr>
          <w:rFonts w:ascii="Tahoma" w:hAnsi="Tahoma" w:cs="Tahoma"/>
          <w:lang w:val="da"/>
        </w:rPr>
        <w:t>,</w:t>
      </w:r>
      <w:r>
        <w:rPr>
          <w:rFonts w:ascii="Tahoma" w:hAnsi="Tahoma" w:cs="Tahoma"/>
          <w:lang w:val="da"/>
        </w:rPr>
        <w:t xml:space="preserve"> FMI måtte have betalt for meget. </w:t>
      </w:r>
    </w:p>
    <w:p w14:paraId="7FD9D6F8" w14:textId="77777777" w:rsidR="001C6826" w:rsidRDefault="001C6826" w:rsidP="001C6826">
      <w:pPr>
        <w:spacing w:line="360" w:lineRule="auto"/>
        <w:ind w:left="567"/>
        <w:jc w:val="both"/>
        <w:rPr>
          <w:rFonts w:ascii="Tahoma" w:hAnsi="Tahoma" w:cs="Tahoma"/>
        </w:rPr>
      </w:pPr>
    </w:p>
    <w:p w14:paraId="6318DA0F" w14:textId="77777777" w:rsidR="001C6826" w:rsidRPr="002C64DB" w:rsidRDefault="001C6826" w:rsidP="001C6826">
      <w:pPr>
        <w:spacing w:line="360" w:lineRule="auto"/>
        <w:ind w:left="567"/>
        <w:jc w:val="both"/>
        <w:rPr>
          <w:rFonts w:ascii="Tahoma" w:hAnsi="Tahoma" w:cs="Tahoma"/>
        </w:rPr>
      </w:pPr>
      <w:r>
        <w:rPr>
          <w:rFonts w:ascii="Tahoma" w:hAnsi="Tahoma" w:cs="Tahoma"/>
          <w:lang w:val="da"/>
        </w:rPr>
        <w:t xml:space="preserve">Hvis priserne har været for lave, har Leverandøren ret til ekstra betalinger, hvis FMI burde have været klar over fejlen. </w:t>
      </w:r>
    </w:p>
    <w:p w14:paraId="4B7255ED" w14:textId="77777777" w:rsidR="00F25170" w:rsidRDefault="00F25170" w:rsidP="001C6826">
      <w:pPr>
        <w:spacing w:line="360" w:lineRule="auto"/>
        <w:ind w:left="567"/>
        <w:rPr>
          <w:lang w:val="da"/>
        </w:rPr>
      </w:pPr>
    </w:p>
    <w:p w14:paraId="7C575530" w14:textId="77777777" w:rsidR="00FB572B" w:rsidRDefault="00FB572B" w:rsidP="00FB572B">
      <w:pPr>
        <w:pStyle w:val="Heading2"/>
        <w:spacing w:line="360" w:lineRule="auto"/>
        <w:jc w:val="both"/>
        <w:rPr>
          <w:rFonts w:ascii="Tahoma" w:hAnsi="Tahoma" w:cs="Tahoma"/>
          <w:bCs/>
          <w:sz w:val="20"/>
          <w:szCs w:val="20"/>
          <w:u w:val="none"/>
          <w:lang w:val="da"/>
        </w:rPr>
      </w:pPr>
      <w:bookmarkStart w:id="4" w:name="_Toc101833037"/>
      <w:r>
        <w:rPr>
          <w:rFonts w:ascii="Tahoma" w:hAnsi="Tahoma" w:cs="Tahoma"/>
          <w:bCs/>
          <w:sz w:val="20"/>
          <w:szCs w:val="20"/>
          <w:u w:val="none"/>
          <w:lang w:val="da"/>
        </w:rPr>
        <w:t>Årlig prisregulering</w:t>
      </w:r>
      <w:bookmarkEnd w:id="4"/>
    </w:p>
    <w:p w14:paraId="3D6C0873" w14:textId="046740CC" w:rsidR="00E03D09" w:rsidRPr="005E59E0" w:rsidRDefault="00F25170" w:rsidP="00E03D09">
      <w:pPr>
        <w:spacing w:line="360" w:lineRule="auto"/>
        <w:ind w:left="567"/>
        <w:jc w:val="both"/>
        <w:rPr>
          <w:rFonts w:ascii="Tahoma" w:hAnsi="Tahoma" w:cs="Tahoma"/>
          <w:color w:val="FF0000"/>
          <w:lang w:val="da"/>
        </w:rPr>
      </w:pPr>
      <w:r>
        <w:rPr>
          <w:rFonts w:cs="Arial"/>
          <w:lang w:val="da"/>
        </w:rPr>
        <w:t xml:space="preserve">Årlig prisregulering skal altid ske i overensstemmelse med det aftalte indeks og formel, jf. punkt 1.4. </w:t>
      </w:r>
      <w:r w:rsidR="00E03D09" w:rsidRPr="00ED6D84">
        <w:rPr>
          <w:rFonts w:ascii="Tahoma" w:hAnsi="Tahoma" w:cs="Tahoma"/>
          <w:lang w:val="da"/>
        </w:rPr>
        <w:t xml:space="preserve">Hvis indeksintervallet således er aftalt til de </w:t>
      </w:r>
      <w:r w:rsidR="005537EC">
        <w:rPr>
          <w:rFonts w:ascii="Tahoma" w:hAnsi="Tahoma" w:cs="Tahoma"/>
          <w:lang w:val="da"/>
        </w:rPr>
        <w:t>seks</w:t>
      </w:r>
      <w:r w:rsidR="00E03D09" w:rsidRPr="00ED6D84">
        <w:rPr>
          <w:rFonts w:ascii="Tahoma" w:hAnsi="Tahoma" w:cs="Tahoma"/>
          <w:lang w:val="da"/>
        </w:rPr>
        <w:t xml:space="preserve"> måneder </w:t>
      </w:r>
      <w:r w:rsidR="005537EC">
        <w:rPr>
          <w:rFonts w:ascii="Tahoma" w:hAnsi="Tahoma" w:cs="Tahoma"/>
          <w:lang w:val="da"/>
        </w:rPr>
        <w:t>januar</w:t>
      </w:r>
      <w:r w:rsidR="00E03D09" w:rsidRPr="00ED6D84">
        <w:rPr>
          <w:rFonts w:ascii="Tahoma" w:hAnsi="Tahoma" w:cs="Tahoma"/>
          <w:lang w:val="da"/>
        </w:rPr>
        <w:t xml:space="preserve"> - </w:t>
      </w:r>
      <w:r w:rsidR="005537EC">
        <w:rPr>
          <w:rFonts w:ascii="Tahoma" w:hAnsi="Tahoma" w:cs="Tahoma"/>
          <w:lang w:val="da"/>
        </w:rPr>
        <w:t>juni</w:t>
      </w:r>
      <w:r w:rsidR="00E03D09" w:rsidRPr="00ED6D84">
        <w:rPr>
          <w:rFonts w:ascii="Tahoma" w:hAnsi="Tahoma" w:cs="Tahoma"/>
          <w:lang w:val="da"/>
        </w:rPr>
        <w:t>, vil dette være det indeksinterval, der skal anvendes ved den årlige reguleringen hvert år - dette vil også være tilfældet, hvis prisreguleringen sker på et senere tidspunkt.</w:t>
      </w:r>
      <w:r w:rsidR="00E03D09" w:rsidRPr="00ED6D84">
        <w:rPr>
          <w:rFonts w:ascii="Tahoma" w:hAnsi="Tahoma" w:cs="Tahoma"/>
          <w:color w:val="FF0000"/>
          <w:lang w:val="da"/>
        </w:rPr>
        <w:t xml:space="preserve">   </w:t>
      </w:r>
    </w:p>
    <w:p w14:paraId="748D00E9" w14:textId="77777777" w:rsidR="00E30033" w:rsidRDefault="00E30033" w:rsidP="00E03D09">
      <w:pPr>
        <w:spacing w:line="360" w:lineRule="auto"/>
        <w:rPr>
          <w:rFonts w:cs="Arial"/>
          <w:lang w:val="da"/>
        </w:rPr>
      </w:pPr>
    </w:p>
    <w:p w14:paraId="6068E261" w14:textId="77777777" w:rsidR="00E30033" w:rsidRDefault="00E30033" w:rsidP="00F25170">
      <w:pPr>
        <w:spacing w:line="360" w:lineRule="auto"/>
        <w:ind w:left="567"/>
        <w:rPr>
          <w:lang w:val="da"/>
        </w:rPr>
      </w:pPr>
      <w:r>
        <w:rPr>
          <w:rFonts w:cs="Arial"/>
          <w:lang w:val="da"/>
        </w:rPr>
        <w:t xml:space="preserve">Årlig prisregulering kan ske på Leverandørens eller FMI initiativ. Prisregulering skal varsles over for FMI eller Leverandøren senest 15 dage forud for det tidspunkt, hvor den regulerede pris skal gælde. Den regulerede pris vil gælde, medmindre FMI eller Leverandøren gør indsigelse herimod inden udløbet af fristen på 15 dage. </w:t>
      </w:r>
    </w:p>
    <w:p w14:paraId="32C18745" w14:textId="77777777" w:rsidR="00FB572B" w:rsidRDefault="00FB572B" w:rsidP="00FB572B">
      <w:pPr>
        <w:rPr>
          <w:lang w:val="da"/>
        </w:rPr>
      </w:pPr>
    </w:p>
    <w:p w14:paraId="456F2859" w14:textId="77777777" w:rsidR="00F25170" w:rsidRDefault="00F25170" w:rsidP="00F25170">
      <w:pPr>
        <w:spacing w:line="360" w:lineRule="auto"/>
        <w:ind w:left="567"/>
        <w:rPr>
          <w:lang w:val="da"/>
        </w:rPr>
      </w:pPr>
      <w:r>
        <w:rPr>
          <w:lang w:val="da"/>
        </w:rPr>
        <w:t>Hvis det er Leverandøren, der anmoder om prisreguleringen, skal anmodningen sendes elektronisk til FMI-KTP-SC-AFTALE@MIL.DK</w:t>
      </w:r>
      <w:r>
        <w:rPr>
          <w:lang w:val="da"/>
        </w:rPr>
        <w:fldChar w:fldCharType="begin"/>
      </w:r>
      <w:r>
        <w:rPr>
          <w:lang w:val="da"/>
        </w:rPr>
        <w:instrText>FMT-KTP-AFTALEDRIFT@mil.dk"</w:instrText>
      </w:r>
      <w:r>
        <w:rPr>
          <w:lang w:val="da"/>
        </w:rPr>
        <w:fldChar w:fldCharType="separate"/>
      </w:r>
      <w:r>
        <w:rPr>
          <w:rStyle w:val="Hyperlink"/>
          <w:lang w:val="da"/>
        </w:rPr>
        <w:t>FMT-KTP-AFTALEDRIFT@mil.dk</w:t>
      </w:r>
      <w:r>
        <w:rPr>
          <w:lang w:val="da"/>
        </w:rPr>
        <w:fldChar w:fldCharType="end"/>
      </w:r>
      <w:r>
        <w:rPr>
          <w:lang w:val="da"/>
        </w:rPr>
        <w:t>. Anmodningen skal påføres Aftale-nr. [</w:t>
      </w:r>
      <w:r>
        <w:rPr>
          <w:highlight w:val="yellow"/>
          <w:lang w:val="da"/>
        </w:rPr>
        <w:t>460000xxxx]</w:t>
      </w:r>
      <w:r>
        <w:rPr>
          <w:lang w:val="da"/>
        </w:rPr>
        <w:t>, de</w:t>
      </w:r>
      <w:r w:rsidR="00D44D6B">
        <w:rPr>
          <w:lang w:val="da"/>
        </w:rPr>
        <w:t xml:space="preserve"> </w:t>
      </w:r>
      <w:r w:rsidR="00D44D6B">
        <w:rPr>
          <w:lang w:val="da"/>
        </w:rPr>
        <w:lastRenderedPageBreak/>
        <w:t>anvendte indeks</w:t>
      </w:r>
      <w:r w:rsidR="00B76C68">
        <w:rPr>
          <w:lang w:val="da"/>
        </w:rPr>
        <w:t>er</w:t>
      </w:r>
      <w:r w:rsidR="00D44D6B">
        <w:rPr>
          <w:lang w:val="da"/>
        </w:rPr>
        <w:t>, beregningen,</w:t>
      </w:r>
      <w:r>
        <w:rPr>
          <w:lang w:val="da"/>
        </w:rPr>
        <w:t xml:space="preserve"> den derved fremkomne procentuelle ændring</w:t>
      </w:r>
      <w:r w:rsidR="00D44D6B">
        <w:rPr>
          <w:lang w:val="da"/>
        </w:rPr>
        <w:t xml:space="preserve">, samt de nye priser resulterende heraf. Både ny pris eksklusiv afgift samt enten afgift eller ny pris inklusiv afgift skal fremgå. </w:t>
      </w:r>
      <w:r>
        <w:rPr>
          <w:lang w:val="da"/>
        </w:rPr>
        <w:t xml:space="preserve"> </w:t>
      </w:r>
    </w:p>
    <w:p w14:paraId="546BC6B5" w14:textId="77777777" w:rsidR="00B76C68" w:rsidRDefault="00B76C68" w:rsidP="00F25170">
      <w:pPr>
        <w:spacing w:line="360" w:lineRule="auto"/>
        <w:ind w:left="567"/>
        <w:rPr>
          <w:lang w:val="da"/>
        </w:rPr>
      </w:pPr>
    </w:p>
    <w:p w14:paraId="45B2E891" w14:textId="77777777" w:rsidR="00E30033" w:rsidRDefault="00E30033" w:rsidP="00E30033">
      <w:pPr>
        <w:spacing w:line="360" w:lineRule="auto"/>
        <w:ind w:left="567"/>
        <w:rPr>
          <w:rFonts w:cs="Arial"/>
          <w:lang w:val="da"/>
        </w:rPr>
      </w:pPr>
      <w:r>
        <w:rPr>
          <w:rFonts w:cs="Arial"/>
          <w:lang w:val="da"/>
        </w:rPr>
        <w:t>Leverandøren er forpligtet til at fremsende indeksværdier samt den nødvendige dokumentation for indeksværdierne, der skal benyttes ved den årlige prisregulering, uagtet om der er anmodet om en regulering.</w:t>
      </w:r>
    </w:p>
    <w:p w14:paraId="7B90E235" w14:textId="77777777" w:rsidR="00E30033" w:rsidRDefault="00E30033" w:rsidP="00F25170">
      <w:pPr>
        <w:spacing w:line="360" w:lineRule="auto"/>
        <w:ind w:left="567"/>
        <w:rPr>
          <w:lang w:val="da"/>
        </w:rPr>
      </w:pPr>
    </w:p>
    <w:p w14:paraId="0042FBCD" w14:textId="77777777" w:rsidR="00F25170" w:rsidRDefault="00F25170" w:rsidP="00F25170">
      <w:pPr>
        <w:spacing w:line="360" w:lineRule="auto"/>
        <w:ind w:left="567"/>
        <w:rPr>
          <w:lang w:val="da"/>
        </w:rPr>
      </w:pPr>
      <w:r>
        <w:rPr>
          <w:lang w:val="da"/>
        </w:rPr>
        <w:t>Hvis det er FMI, der anmoder om prisreguleringen, skal anmodningen sendes elektronisk til [</w:t>
      </w:r>
      <w:r>
        <w:rPr>
          <w:highlight w:val="yellow"/>
          <w:lang w:val="da"/>
        </w:rPr>
        <w:t>Indsæt kontaktpunkt</w:t>
      </w:r>
      <w:r>
        <w:rPr>
          <w:lang w:val="da"/>
        </w:rPr>
        <w:t>]. Anmodningen skal påføres Aftale-nr. [</w:t>
      </w:r>
      <w:r>
        <w:rPr>
          <w:highlight w:val="yellow"/>
          <w:lang w:val="da"/>
        </w:rPr>
        <w:t>460000xxxx]</w:t>
      </w:r>
      <w:r>
        <w:rPr>
          <w:lang w:val="da"/>
        </w:rPr>
        <w:t>, de anvendte indeks, beregningen</w:t>
      </w:r>
      <w:r w:rsidR="00D44D6B">
        <w:rPr>
          <w:lang w:val="da"/>
        </w:rPr>
        <w:t>,</w:t>
      </w:r>
      <w:r>
        <w:rPr>
          <w:lang w:val="da"/>
        </w:rPr>
        <w:t xml:space="preserve"> </w:t>
      </w:r>
      <w:r w:rsidR="00D44D6B">
        <w:rPr>
          <w:lang w:val="da"/>
        </w:rPr>
        <w:t>den derved fremkomne procentuelle ændring, samt de nye priser resulterende heraf. Både ny pris eksklusiv afgift samt enten afgift eller ny pris inklusiv afgift skal fremgå.</w:t>
      </w:r>
    </w:p>
    <w:p w14:paraId="24C2945B" w14:textId="77777777" w:rsidR="00F25170" w:rsidRPr="00F25170" w:rsidRDefault="00F25170" w:rsidP="00F25170">
      <w:pPr>
        <w:spacing w:line="360" w:lineRule="auto"/>
        <w:ind w:left="567"/>
        <w:rPr>
          <w:lang w:val="da"/>
        </w:rPr>
      </w:pPr>
    </w:p>
    <w:p w14:paraId="57C23955" w14:textId="77777777" w:rsidR="00F25170" w:rsidRPr="00F25170" w:rsidRDefault="00F25170" w:rsidP="00FB572B"/>
    <w:p w14:paraId="511E44AD" w14:textId="082D8A89" w:rsidR="00FB572B" w:rsidRPr="000C7BFB" w:rsidRDefault="00FB572B" w:rsidP="00FB572B">
      <w:pPr>
        <w:pStyle w:val="Heading2"/>
        <w:spacing w:line="360" w:lineRule="auto"/>
        <w:jc w:val="both"/>
        <w:rPr>
          <w:rFonts w:ascii="Tahoma" w:hAnsi="Tahoma" w:cs="Tahoma"/>
          <w:sz w:val="20"/>
          <w:szCs w:val="20"/>
          <w:u w:val="none"/>
        </w:rPr>
      </w:pPr>
      <w:bookmarkStart w:id="5" w:name="_Toc101833038"/>
      <w:r>
        <w:rPr>
          <w:rFonts w:ascii="Tahoma" w:hAnsi="Tahoma" w:cs="Tahoma"/>
          <w:bCs/>
          <w:sz w:val="20"/>
          <w:szCs w:val="20"/>
          <w:u w:val="none"/>
          <w:lang w:val="da"/>
        </w:rPr>
        <w:t xml:space="preserve">Betinget </w:t>
      </w:r>
      <w:r w:rsidR="00445CF3">
        <w:rPr>
          <w:rFonts w:ascii="Tahoma" w:hAnsi="Tahoma" w:cs="Tahoma"/>
          <w:bCs/>
          <w:sz w:val="20"/>
          <w:szCs w:val="20"/>
          <w:u w:val="none"/>
          <w:lang w:val="da"/>
        </w:rPr>
        <w:t xml:space="preserve">halvårlig </w:t>
      </w:r>
      <w:r>
        <w:rPr>
          <w:rFonts w:ascii="Tahoma" w:hAnsi="Tahoma" w:cs="Tahoma"/>
          <w:bCs/>
          <w:sz w:val="20"/>
          <w:szCs w:val="20"/>
          <w:u w:val="none"/>
          <w:lang w:val="da"/>
        </w:rPr>
        <w:t>prisregulering</w:t>
      </w:r>
      <w:bookmarkEnd w:id="5"/>
    </w:p>
    <w:p w14:paraId="113D6FAD" w14:textId="69EC08B2" w:rsidR="00D44D6B" w:rsidRDefault="00D44D6B" w:rsidP="00D44D6B">
      <w:pPr>
        <w:spacing w:line="360" w:lineRule="auto"/>
        <w:ind w:left="567"/>
        <w:jc w:val="both"/>
        <w:rPr>
          <w:rFonts w:ascii="Tahoma" w:hAnsi="Tahoma" w:cs="Tahoma"/>
          <w:lang w:val="da"/>
        </w:rPr>
      </w:pPr>
      <w:r w:rsidRPr="007C07E7">
        <w:rPr>
          <w:rFonts w:ascii="Tahoma" w:hAnsi="Tahoma" w:cs="Tahoma"/>
          <w:lang w:val="da"/>
        </w:rPr>
        <w:t>Begge parter kan, efter de første 6 måneder</w:t>
      </w:r>
      <w:r w:rsidR="00087BBE">
        <w:rPr>
          <w:rFonts w:ascii="Tahoma" w:hAnsi="Tahoma" w:cs="Tahoma"/>
          <w:lang w:val="da"/>
        </w:rPr>
        <w:t>,</w:t>
      </w:r>
      <w:r w:rsidRPr="007C07E7">
        <w:rPr>
          <w:rFonts w:ascii="Tahoma" w:hAnsi="Tahoma" w:cs="Tahoma"/>
          <w:lang w:val="da"/>
        </w:rPr>
        <w:t xml:space="preserve"> hvor prisen er fast, regulere priserne efter endt </w:t>
      </w:r>
      <w:r w:rsidR="00445CF3">
        <w:rPr>
          <w:rFonts w:ascii="Tahoma" w:hAnsi="Tahoma" w:cs="Tahoma"/>
          <w:lang w:val="da"/>
        </w:rPr>
        <w:t>halvår</w:t>
      </w:r>
      <w:r w:rsidRPr="007C07E7">
        <w:rPr>
          <w:rFonts w:ascii="Tahoma" w:hAnsi="Tahoma" w:cs="Tahoma"/>
          <w:lang w:val="da"/>
        </w:rPr>
        <w:t>, såfremt den aktuelle pris, ved brug af nedenstående formel</w:t>
      </w:r>
      <w:r>
        <w:rPr>
          <w:rFonts w:ascii="Tahoma" w:hAnsi="Tahoma" w:cs="Tahoma"/>
          <w:lang w:val="da"/>
        </w:rPr>
        <w:t xml:space="preserve"> afsnit 1.4</w:t>
      </w:r>
      <w:r w:rsidRPr="007C07E7">
        <w:rPr>
          <w:rFonts w:ascii="Tahoma" w:hAnsi="Tahoma" w:cs="Tahoma"/>
          <w:lang w:val="da"/>
        </w:rPr>
        <w:t xml:space="preserve">, ændrer sig mere end +/- 5% inden for perioden siden </w:t>
      </w:r>
      <w:r w:rsidR="00041A42">
        <w:rPr>
          <w:rFonts w:ascii="Tahoma" w:hAnsi="Tahoma" w:cs="Tahoma"/>
          <w:lang w:val="da"/>
        </w:rPr>
        <w:t>Ikrafttræden</w:t>
      </w:r>
      <w:r w:rsidR="00B76C68">
        <w:rPr>
          <w:rFonts w:ascii="Tahoma" w:hAnsi="Tahoma" w:cs="Tahoma"/>
          <w:lang w:val="da"/>
        </w:rPr>
        <w:t xml:space="preserve"> eller </w:t>
      </w:r>
      <w:r w:rsidRPr="007C07E7">
        <w:rPr>
          <w:rFonts w:ascii="Tahoma" w:hAnsi="Tahoma" w:cs="Tahoma"/>
          <w:lang w:val="da"/>
        </w:rPr>
        <w:t xml:space="preserve">sidste regulering. </w:t>
      </w:r>
    </w:p>
    <w:p w14:paraId="7CF1F69E" w14:textId="77777777" w:rsidR="00B76C68" w:rsidRDefault="00B76C68" w:rsidP="00D44D6B">
      <w:pPr>
        <w:spacing w:line="360" w:lineRule="auto"/>
        <w:ind w:left="567"/>
        <w:jc w:val="both"/>
        <w:rPr>
          <w:rFonts w:ascii="Tahoma" w:hAnsi="Tahoma" w:cs="Tahoma"/>
          <w:lang w:val="da"/>
        </w:rPr>
      </w:pPr>
    </w:p>
    <w:p w14:paraId="698F0322" w14:textId="4E0B5AF8" w:rsidR="00E03D09" w:rsidRDefault="00445CF3" w:rsidP="00D44D6B">
      <w:pPr>
        <w:spacing w:line="360" w:lineRule="auto"/>
        <w:ind w:left="567"/>
        <w:jc w:val="both"/>
        <w:rPr>
          <w:rFonts w:ascii="Tahoma" w:hAnsi="Tahoma" w:cs="Tahoma"/>
          <w:lang w:val="da"/>
        </w:rPr>
      </w:pPr>
      <w:r>
        <w:rPr>
          <w:rFonts w:ascii="Tahoma" w:hAnsi="Tahoma" w:cs="Tahoma"/>
          <w:lang w:val="da"/>
        </w:rPr>
        <w:t xml:space="preserve">Halvår </w:t>
      </w:r>
      <w:r w:rsidR="00E03D09">
        <w:rPr>
          <w:rFonts w:ascii="Tahoma" w:hAnsi="Tahoma" w:cs="Tahoma"/>
          <w:lang w:val="da"/>
        </w:rPr>
        <w:t xml:space="preserve">skal her forstås som </w:t>
      </w:r>
      <w:r>
        <w:rPr>
          <w:rFonts w:ascii="Tahoma" w:hAnsi="Tahoma" w:cs="Tahoma"/>
          <w:lang w:val="da"/>
        </w:rPr>
        <w:t>6</w:t>
      </w:r>
      <w:r w:rsidR="00E03D09">
        <w:rPr>
          <w:rFonts w:ascii="Tahoma" w:hAnsi="Tahoma" w:cs="Tahoma"/>
          <w:lang w:val="da"/>
        </w:rPr>
        <w:t xml:space="preserve"> (</w:t>
      </w:r>
      <w:r>
        <w:rPr>
          <w:rFonts w:ascii="Tahoma" w:hAnsi="Tahoma" w:cs="Tahoma"/>
          <w:lang w:val="da"/>
        </w:rPr>
        <w:t>seks</w:t>
      </w:r>
      <w:r w:rsidR="00E03D09">
        <w:rPr>
          <w:rFonts w:ascii="Tahoma" w:hAnsi="Tahoma" w:cs="Tahoma"/>
          <w:lang w:val="da"/>
        </w:rPr>
        <w:t>) måneders på hinanden følgende perioder udmålt fra Aftalens Ikraft</w:t>
      </w:r>
      <w:r w:rsidR="00C04EF4">
        <w:rPr>
          <w:rFonts w:ascii="Tahoma" w:hAnsi="Tahoma" w:cs="Tahoma"/>
          <w:lang w:val="da"/>
        </w:rPr>
        <w:t>t</w:t>
      </w:r>
      <w:r w:rsidR="00E03D09">
        <w:rPr>
          <w:rFonts w:ascii="Tahoma" w:hAnsi="Tahoma" w:cs="Tahoma"/>
          <w:lang w:val="da"/>
        </w:rPr>
        <w:t>rædelse, ikke nødvendigvis perioderne januar-</w:t>
      </w:r>
      <w:r>
        <w:rPr>
          <w:rFonts w:ascii="Tahoma" w:hAnsi="Tahoma" w:cs="Tahoma"/>
          <w:lang w:val="da"/>
        </w:rPr>
        <w:t>juni og</w:t>
      </w:r>
      <w:r w:rsidR="00E03D09">
        <w:rPr>
          <w:rFonts w:ascii="Tahoma" w:hAnsi="Tahoma" w:cs="Tahoma"/>
          <w:lang w:val="da"/>
        </w:rPr>
        <w:t xml:space="preserve"> </w:t>
      </w:r>
      <w:r>
        <w:rPr>
          <w:rFonts w:ascii="Tahoma" w:hAnsi="Tahoma" w:cs="Tahoma"/>
          <w:lang w:val="da"/>
        </w:rPr>
        <w:t>juli-december</w:t>
      </w:r>
      <w:r w:rsidR="00E03D09">
        <w:rPr>
          <w:rFonts w:ascii="Tahoma" w:hAnsi="Tahoma" w:cs="Tahoma"/>
          <w:lang w:val="da"/>
        </w:rPr>
        <w:t xml:space="preserve">. </w:t>
      </w:r>
    </w:p>
    <w:p w14:paraId="2E781362" w14:textId="77777777" w:rsidR="00B76C68" w:rsidRDefault="00B76C68" w:rsidP="00D44D6B">
      <w:pPr>
        <w:spacing w:line="360" w:lineRule="auto"/>
        <w:ind w:left="567"/>
        <w:jc w:val="both"/>
        <w:rPr>
          <w:rFonts w:ascii="Tahoma" w:hAnsi="Tahoma" w:cs="Tahoma"/>
          <w:lang w:val="da"/>
        </w:rPr>
      </w:pPr>
    </w:p>
    <w:p w14:paraId="4F8C5CE2" w14:textId="391D8CFE" w:rsidR="00E03D09" w:rsidRDefault="00E03D09" w:rsidP="00D44D6B">
      <w:pPr>
        <w:spacing w:line="360" w:lineRule="auto"/>
        <w:ind w:left="567"/>
        <w:jc w:val="both"/>
        <w:rPr>
          <w:rFonts w:ascii="Tahoma" w:hAnsi="Tahoma" w:cs="Tahoma"/>
          <w:lang w:val="da"/>
        </w:rPr>
      </w:pPr>
      <w:r>
        <w:rPr>
          <w:rFonts w:ascii="Tahoma" w:hAnsi="Tahoma" w:cs="Tahoma"/>
          <w:lang w:val="da"/>
        </w:rPr>
        <w:t xml:space="preserve">For de </w:t>
      </w:r>
      <w:r w:rsidR="008322CB">
        <w:rPr>
          <w:rFonts w:ascii="Tahoma" w:hAnsi="Tahoma" w:cs="Tahoma"/>
          <w:lang w:val="da"/>
        </w:rPr>
        <w:t>halvårsafslutninger</w:t>
      </w:r>
      <w:r w:rsidR="00DF24DD">
        <w:rPr>
          <w:rFonts w:ascii="Tahoma" w:hAnsi="Tahoma" w:cs="Tahoma"/>
          <w:lang w:val="da"/>
        </w:rPr>
        <w:t xml:space="preserve"> </w:t>
      </w:r>
      <w:r>
        <w:rPr>
          <w:rFonts w:ascii="Tahoma" w:hAnsi="Tahoma" w:cs="Tahoma"/>
          <w:lang w:val="da"/>
        </w:rPr>
        <w:t xml:space="preserve">som er sammenfaldende med tidspunktet for årlig prisregulering, foretages prisreguleringen </w:t>
      </w:r>
      <w:r w:rsidR="00691A07">
        <w:rPr>
          <w:rFonts w:ascii="Tahoma" w:hAnsi="Tahoma" w:cs="Tahoma"/>
          <w:lang w:val="da"/>
        </w:rPr>
        <w:t xml:space="preserve">udelukkende </w:t>
      </w:r>
      <w:r>
        <w:rPr>
          <w:rFonts w:ascii="Tahoma" w:hAnsi="Tahoma" w:cs="Tahoma"/>
          <w:lang w:val="da"/>
        </w:rPr>
        <w:t>som beskrevet af afsnit 1.2 (Årlig prisregulering)</w:t>
      </w:r>
      <w:r w:rsidR="00DF24DD">
        <w:rPr>
          <w:rFonts w:ascii="Tahoma" w:hAnsi="Tahoma" w:cs="Tahoma"/>
          <w:lang w:val="da"/>
        </w:rPr>
        <w:t>, uagtet om ændringen er større end +/- 5%</w:t>
      </w:r>
      <w:r>
        <w:rPr>
          <w:rFonts w:ascii="Tahoma" w:hAnsi="Tahoma" w:cs="Tahoma"/>
          <w:lang w:val="da"/>
        </w:rPr>
        <w:t xml:space="preserve">. </w:t>
      </w:r>
    </w:p>
    <w:p w14:paraId="56D4327A" w14:textId="77777777" w:rsidR="00D44D6B" w:rsidRDefault="00D44D6B" w:rsidP="00F25170">
      <w:pPr>
        <w:spacing w:line="360" w:lineRule="auto"/>
        <w:ind w:left="567"/>
        <w:rPr>
          <w:rFonts w:cs="Arial"/>
          <w:lang w:val="da"/>
        </w:rPr>
      </w:pPr>
    </w:p>
    <w:p w14:paraId="25A14D23" w14:textId="2990048D" w:rsidR="00F25170" w:rsidRDefault="008322CB" w:rsidP="00F25170">
      <w:pPr>
        <w:spacing w:line="360" w:lineRule="auto"/>
        <w:ind w:left="567"/>
        <w:rPr>
          <w:rFonts w:cs="Arial"/>
          <w:lang w:val="da"/>
        </w:rPr>
      </w:pPr>
      <w:r>
        <w:rPr>
          <w:rFonts w:cs="Arial"/>
          <w:lang w:val="da"/>
        </w:rPr>
        <w:t xml:space="preserve">Halvårlig </w:t>
      </w:r>
      <w:r w:rsidR="00D44D6B">
        <w:rPr>
          <w:rFonts w:cs="Arial"/>
          <w:lang w:val="da"/>
        </w:rPr>
        <w:t>p</w:t>
      </w:r>
      <w:r w:rsidR="00F25170">
        <w:rPr>
          <w:rFonts w:cs="Arial"/>
          <w:lang w:val="da"/>
        </w:rPr>
        <w:t>risregulering skal</w:t>
      </w:r>
      <w:r w:rsidR="00D44D6B">
        <w:rPr>
          <w:rFonts w:cs="Arial"/>
          <w:lang w:val="da"/>
        </w:rPr>
        <w:t>, ligesom den årlige prisregulering,</w:t>
      </w:r>
      <w:r w:rsidR="00F25170">
        <w:rPr>
          <w:rFonts w:cs="Arial"/>
          <w:lang w:val="da"/>
        </w:rPr>
        <w:t xml:space="preserve"> altid ske i overensstemmelse med det aftalte indeks, jf. punkt 1.</w:t>
      </w:r>
      <w:r w:rsidR="00D44D6B">
        <w:rPr>
          <w:rFonts w:cs="Arial"/>
          <w:lang w:val="da"/>
        </w:rPr>
        <w:t>4</w:t>
      </w:r>
      <w:r w:rsidR="00F25170">
        <w:rPr>
          <w:rFonts w:cs="Arial"/>
          <w:lang w:val="da"/>
        </w:rPr>
        <w:t xml:space="preserve">. </w:t>
      </w:r>
    </w:p>
    <w:p w14:paraId="3818F0E3" w14:textId="77777777" w:rsidR="00ED6D84" w:rsidRDefault="00ED6D84" w:rsidP="00F25170">
      <w:pPr>
        <w:spacing w:line="360" w:lineRule="auto"/>
        <w:ind w:left="567"/>
        <w:rPr>
          <w:rFonts w:cs="Arial"/>
          <w:lang w:val="da"/>
        </w:rPr>
      </w:pPr>
    </w:p>
    <w:p w14:paraId="2FDDFEA5" w14:textId="150B6207" w:rsidR="00E30033" w:rsidRDefault="008322CB" w:rsidP="00E30033">
      <w:pPr>
        <w:spacing w:line="360" w:lineRule="auto"/>
        <w:ind w:left="567"/>
        <w:rPr>
          <w:lang w:val="da"/>
        </w:rPr>
      </w:pPr>
      <w:r>
        <w:rPr>
          <w:rFonts w:cs="Arial"/>
          <w:lang w:val="da"/>
        </w:rPr>
        <w:t xml:space="preserve">Halvårsvis </w:t>
      </w:r>
      <w:r w:rsidR="00E30033">
        <w:rPr>
          <w:rFonts w:cs="Arial"/>
          <w:lang w:val="da"/>
        </w:rPr>
        <w:t xml:space="preserve">prisregulering kan ske på Leverandørens eller FMI initiativ. Prisregulering skal varsles over for FMI eller Leverandøren senest 15 dage forud for det tidspunkt, hvor den regulerede pris skal gælde. Den regulerede pris vil gælde, medmindre FMI eller Leverandøren gør indsigelse herimod inden udløbet af fristen på 15 dage. </w:t>
      </w:r>
    </w:p>
    <w:p w14:paraId="727ED309" w14:textId="77777777" w:rsidR="00E30033" w:rsidRDefault="00E30033" w:rsidP="00F25170">
      <w:pPr>
        <w:spacing w:line="360" w:lineRule="auto"/>
        <w:ind w:left="567"/>
        <w:rPr>
          <w:rFonts w:cs="Arial"/>
          <w:lang w:val="da"/>
        </w:rPr>
      </w:pPr>
    </w:p>
    <w:p w14:paraId="0672EAF9" w14:textId="77777777" w:rsidR="00F25170" w:rsidRDefault="00F25170" w:rsidP="00F25170">
      <w:pPr>
        <w:spacing w:line="360" w:lineRule="auto"/>
        <w:ind w:left="567"/>
        <w:rPr>
          <w:lang w:val="da"/>
        </w:rPr>
      </w:pPr>
      <w:r>
        <w:rPr>
          <w:lang w:val="da"/>
        </w:rPr>
        <w:t>Hvis det er Leverandøren, der anmoder om prisreguleringen, skal anmodningen sendes elektronisk til FMI-KTP-SC-AFTALE@MIL.DK</w:t>
      </w:r>
      <w:r>
        <w:rPr>
          <w:lang w:val="da"/>
        </w:rPr>
        <w:fldChar w:fldCharType="begin"/>
      </w:r>
      <w:r>
        <w:rPr>
          <w:lang w:val="da"/>
        </w:rPr>
        <w:instrText>FMT-KTP-AFTALEDRIFT@mil.dk"</w:instrText>
      </w:r>
      <w:r>
        <w:rPr>
          <w:lang w:val="da"/>
        </w:rPr>
        <w:fldChar w:fldCharType="separate"/>
      </w:r>
      <w:r>
        <w:rPr>
          <w:rStyle w:val="Hyperlink"/>
          <w:lang w:val="da"/>
        </w:rPr>
        <w:t>FMT-KTP-AFTALEDRIFT@mil.dk</w:t>
      </w:r>
      <w:r>
        <w:rPr>
          <w:lang w:val="da"/>
        </w:rPr>
        <w:fldChar w:fldCharType="end"/>
      </w:r>
      <w:r>
        <w:rPr>
          <w:lang w:val="da"/>
        </w:rPr>
        <w:t>. Anmodningen skal påføres Aftale-nr. [</w:t>
      </w:r>
      <w:r>
        <w:rPr>
          <w:highlight w:val="yellow"/>
          <w:lang w:val="da"/>
        </w:rPr>
        <w:t>460000xxxx]</w:t>
      </w:r>
      <w:r>
        <w:rPr>
          <w:lang w:val="da"/>
        </w:rPr>
        <w:t>, de anvendte indeks, beregningen</w:t>
      </w:r>
      <w:r w:rsidR="00D44D6B">
        <w:rPr>
          <w:lang w:val="da"/>
        </w:rPr>
        <w:t xml:space="preserve">, den derved fremkomne procentuelle ændring, samt de nye priser </w:t>
      </w:r>
      <w:r w:rsidR="00D44D6B">
        <w:rPr>
          <w:lang w:val="da"/>
        </w:rPr>
        <w:lastRenderedPageBreak/>
        <w:t>resulterende heraf. Både ny pris eksklusiv afgift samt enten afgift eller ny pris inklusiv afgift skal fremgå.</w:t>
      </w:r>
    </w:p>
    <w:p w14:paraId="01ACF8C0" w14:textId="77777777" w:rsidR="00E30033" w:rsidRDefault="00E30033" w:rsidP="00F25170">
      <w:pPr>
        <w:spacing w:line="360" w:lineRule="auto"/>
        <w:ind w:left="567"/>
        <w:rPr>
          <w:lang w:val="da"/>
        </w:rPr>
      </w:pPr>
    </w:p>
    <w:p w14:paraId="63CF8A41" w14:textId="77777777" w:rsidR="00E30033" w:rsidRDefault="00E30033" w:rsidP="00E30033">
      <w:pPr>
        <w:spacing w:line="360" w:lineRule="auto"/>
        <w:ind w:left="567"/>
        <w:rPr>
          <w:rFonts w:cs="Arial"/>
          <w:lang w:val="da"/>
        </w:rPr>
      </w:pPr>
      <w:r>
        <w:rPr>
          <w:rFonts w:cs="Arial"/>
          <w:lang w:val="da"/>
        </w:rPr>
        <w:t>Leverandøren er forpligtet til at fremsende indeksværdier samt den nødvendige dokumentation for indeksværdierne for hvert kvartal, uagtet om der er anmodet om en regulering.</w:t>
      </w:r>
    </w:p>
    <w:p w14:paraId="2BF7DBC6" w14:textId="77777777" w:rsidR="00D44D6B" w:rsidRDefault="00D44D6B" w:rsidP="00F25170">
      <w:pPr>
        <w:spacing w:line="360" w:lineRule="auto"/>
        <w:ind w:left="567"/>
        <w:rPr>
          <w:lang w:val="da"/>
        </w:rPr>
      </w:pPr>
    </w:p>
    <w:p w14:paraId="5EB70495" w14:textId="77777777" w:rsidR="00F25170" w:rsidRPr="00F25170" w:rsidRDefault="00F25170" w:rsidP="00F25170">
      <w:pPr>
        <w:spacing w:line="360" w:lineRule="auto"/>
        <w:ind w:left="567"/>
        <w:rPr>
          <w:lang w:val="da"/>
        </w:rPr>
      </w:pPr>
      <w:r>
        <w:rPr>
          <w:lang w:val="da"/>
        </w:rPr>
        <w:t>Hvis det er FMI, der anmoder om prisreguleringen, skal anmodningen sendes elektronisk til [</w:t>
      </w:r>
      <w:r>
        <w:rPr>
          <w:highlight w:val="yellow"/>
          <w:lang w:val="da"/>
        </w:rPr>
        <w:t>Indsæt kontaktpunkt</w:t>
      </w:r>
      <w:r>
        <w:rPr>
          <w:lang w:val="da"/>
        </w:rPr>
        <w:t>]. Anmodningen skal påføres Aftale-nr. [</w:t>
      </w:r>
      <w:r>
        <w:rPr>
          <w:highlight w:val="yellow"/>
          <w:lang w:val="da"/>
        </w:rPr>
        <w:t>460000xxxx]</w:t>
      </w:r>
      <w:r>
        <w:rPr>
          <w:lang w:val="da"/>
        </w:rPr>
        <w:t>, de anvendte indeks, beregningen</w:t>
      </w:r>
      <w:r w:rsidR="00D44D6B">
        <w:rPr>
          <w:lang w:val="da"/>
        </w:rPr>
        <w:t>, den derved fremkomne procentuelle ændring, samt de nye priser resulterende heraf. Både ny pris eksklusiv afgift samt enten afgift eller ny pris inklusiv afgift skal fremgå.</w:t>
      </w:r>
    </w:p>
    <w:p w14:paraId="2E37B72D" w14:textId="77777777" w:rsidR="00FB572B" w:rsidRDefault="00FB572B" w:rsidP="00FB572B">
      <w:pPr>
        <w:spacing w:line="360" w:lineRule="auto"/>
        <w:jc w:val="both"/>
        <w:rPr>
          <w:rFonts w:cs="Arial"/>
        </w:rPr>
      </w:pPr>
    </w:p>
    <w:p w14:paraId="2A7AF42B" w14:textId="77777777" w:rsidR="00FB572B" w:rsidRDefault="00FB572B" w:rsidP="001C6826">
      <w:pPr>
        <w:spacing w:line="360" w:lineRule="auto"/>
        <w:ind w:left="567"/>
        <w:jc w:val="both"/>
        <w:rPr>
          <w:rFonts w:cs="Arial"/>
        </w:rPr>
      </w:pPr>
    </w:p>
    <w:p w14:paraId="49F5DFA6" w14:textId="77777777" w:rsidR="001C6826" w:rsidRPr="000C7BFB" w:rsidRDefault="001C6826" w:rsidP="001C6826">
      <w:pPr>
        <w:pStyle w:val="Heading2"/>
        <w:spacing w:line="360" w:lineRule="auto"/>
        <w:jc w:val="both"/>
        <w:rPr>
          <w:rFonts w:ascii="Tahoma" w:hAnsi="Tahoma" w:cs="Tahoma"/>
          <w:sz w:val="20"/>
          <w:szCs w:val="20"/>
          <w:u w:val="none"/>
        </w:rPr>
      </w:pPr>
      <w:bookmarkStart w:id="6" w:name="_Toc101833039"/>
      <w:r>
        <w:rPr>
          <w:rFonts w:ascii="Tahoma" w:hAnsi="Tahoma" w:cs="Tahoma"/>
          <w:bCs/>
          <w:sz w:val="20"/>
          <w:szCs w:val="20"/>
          <w:u w:val="none"/>
          <w:lang w:val="da"/>
        </w:rPr>
        <w:t>Indeks og formel for prisregulering</w:t>
      </w:r>
      <w:bookmarkEnd w:id="6"/>
    </w:p>
    <w:p w14:paraId="1D58DD35" w14:textId="734A757C" w:rsidR="008322CB" w:rsidRDefault="00D44D6B" w:rsidP="00D44D6B">
      <w:pPr>
        <w:spacing w:line="360" w:lineRule="auto"/>
        <w:ind w:left="567"/>
        <w:jc w:val="both"/>
        <w:rPr>
          <w:rFonts w:ascii="Tahoma" w:hAnsi="Tahoma" w:cs="Tahoma"/>
          <w:lang w:val="da"/>
        </w:rPr>
      </w:pPr>
      <w:r w:rsidRPr="007C07E7">
        <w:rPr>
          <w:rFonts w:ascii="Tahoma" w:hAnsi="Tahoma" w:cs="Tahoma"/>
          <w:lang w:val="da"/>
        </w:rPr>
        <w:t xml:space="preserve">Prisreguleringen for priserne i </w:t>
      </w:r>
      <w:r w:rsidR="00D205AD">
        <w:rPr>
          <w:rFonts w:ascii="Tahoma" w:hAnsi="Tahoma" w:cs="Tahoma"/>
          <w:lang w:val="da"/>
        </w:rPr>
        <w:t>Appendi</w:t>
      </w:r>
      <w:r w:rsidR="00305845">
        <w:rPr>
          <w:rFonts w:ascii="Tahoma" w:hAnsi="Tahoma" w:cs="Tahoma"/>
          <w:lang w:val="da"/>
        </w:rPr>
        <w:t>ks</w:t>
      </w:r>
      <w:r w:rsidR="00D205AD">
        <w:rPr>
          <w:rFonts w:ascii="Tahoma" w:hAnsi="Tahoma" w:cs="Tahoma"/>
          <w:lang w:val="da"/>
        </w:rPr>
        <w:t xml:space="preserve"> C.1</w:t>
      </w:r>
      <w:r w:rsidR="008322CB">
        <w:rPr>
          <w:rFonts w:ascii="Tahoma" w:hAnsi="Tahoma" w:cs="Tahoma"/>
          <w:lang w:val="da"/>
        </w:rPr>
        <w:t xml:space="preserve"> </w:t>
      </w:r>
      <w:r w:rsidR="00305845">
        <w:rPr>
          <w:rFonts w:ascii="Tahoma" w:hAnsi="Tahoma" w:cs="Tahoma"/>
          <w:lang w:val="da"/>
        </w:rPr>
        <w:t xml:space="preserve">under fanebladet ”Gasser under evaluering” </w:t>
      </w:r>
      <w:r w:rsidR="008322CB">
        <w:rPr>
          <w:rFonts w:ascii="Tahoma" w:hAnsi="Tahoma" w:cs="Tahoma"/>
          <w:lang w:val="da"/>
        </w:rPr>
        <w:t>kolonne L</w:t>
      </w:r>
      <w:r w:rsidRPr="007C07E7">
        <w:rPr>
          <w:rFonts w:ascii="Tahoma" w:hAnsi="Tahoma" w:cs="Tahoma"/>
          <w:lang w:val="da"/>
        </w:rPr>
        <w:t xml:space="preserve"> </w:t>
      </w:r>
      <w:r w:rsidR="008322CB">
        <w:rPr>
          <w:rFonts w:ascii="Tahoma" w:hAnsi="Tahoma" w:cs="Tahoma"/>
          <w:lang w:val="da"/>
        </w:rPr>
        <w:t>sker i henhold til Nettoprisindekset fra Danmarks Statistik</w:t>
      </w:r>
      <w:r w:rsidR="00715247">
        <w:rPr>
          <w:rFonts w:ascii="Tahoma" w:hAnsi="Tahoma" w:cs="Tahoma"/>
          <w:lang w:val="da"/>
        </w:rPr>
        <w:t xml:space="preserve"> og Day-</w:t>
      </w:r>
      <w:proofErr w:type="spellStart"/>
      <w:r w:rsidR="00715247">
        <w:rPr>
          <w:rFonts w:ascii="Tahoma" w:hAnsi="Tahoma" w:cs="Tahoma"/>
          <w:lang w:val="da"/>
        </w:rPr>
        <w:t>ahead</w:t>
      </w:r>
      <w:proofErr w:type="spellEnd"/>
      <w:r w:rsidR="00715247">
        <w:rPr>
          <w:rFonts w:ascii="Tahoma" w:hAnsi="Tahoma" w:cs="Tahoma"/>
          <w:lang w:val="da"/>
        </w:rPr>
        <w:t xml:space="preserve"> </w:t>
      </w:r>
      <w:proofErr w:type="spellStart"/>
      <w:r w:rsidR="00715247">
        <w:rPr>
          <w:rFonts w:ascii="Tahoma" w:hAnsi="Tahoma" w:cs="Tahoma"/>
          <w:lang w:val="da"/>
        </w:rPr>
        <w:t>prices</w:t>
      </w:r>
      <w:proofErr w:type="spellEnd"/>
      <w:r w:rsidR="00715247">
        <w:rPr>
          <w:rFonts w:ascii="Tahoma" w:hAnsi="Tahoma" w:cs="Tahoma"/>
          <w:lang w:val="da"/>
        </w:rPr>
        <w:t xml:space="preserve"> for DK fra Nordpool.</w:t>
      </w:r>
    </w:p>
    <w:p w14:paraId="0A8A0D69" w14:textId="045182A0" w:rsidR="00305845" w:rsidRDefault="00305845" w:rsidP="00D44D6B">
      <w:pPr>
        <w:spacing w:line="360" w:lineRule="auto"/>
        <w:ind w:left="567"/>
        <w:jc w:val="both"/>
        <w:rPr>
          <w:rFonts w:ascii="Tahoma" w:hAnsi="Tahoma" w:cs="Tahoma"/>
          <w:lang w:val="da"/>
        </w:rPr>
      </w:pPr>
      <w:r>
        <w:rPr>
          <w:rFonts w:ascii="Tahoma" w:hAnsi="Tahoma" w:cs="Tahoma"/>
          <w:lang w:val="da"/>
        </w:rPr>
        <w:t>Prisreguleringer finder kun sted for kolonne L i ovennævnte fil og faneblad.</w:t>
      </w:r>
    </w:p>
    <w:p w14:paraId="1C9CC221" w14:textId="75957C0D" w:rsidR="007C3C08" w:rsidRDefault="00DF24DD" w:rsidP="00D44D6B">
      <w:pPr>
        <w:spacing w:line="360" w:lineRule="auto"/>
        <w:ind w:left="567"/>
        <w:jc w:val="both"/>
        <w:rPr>
          <w:rFonts w:ascii="Tahoma" w:hAnsi="Tahoma" w:cs="Tahoma"/>
          <w:iCs/>
        </w:rPr>
      </w:pPr>
      <w:r>
        <w:rPr>
          <w:rFonts w:ascii="Tahoma" w:hAnsi="Tahoma" w:cs="Tahoma"/>
          <w:iCs/>
        </w:rPr>
        <w:t>Til brug for prisreguleringsudregningen anvendes for hver af de t</w:t>
      </w:r>
      <w:r w:rsidR="007C3C08">
        <w:rPr>
          <w:rFonts w:ascii="Tahoma" w:hAnsi="Tahoma" w:cs="Tahoma"/>
          <w:iCs/>
        </w:rPr>
        <w:t>o</w:t>
      </w:r>
      <w:r>
        <w:rPr>
          <w:rFonts w:ascii="Tahoma" w:hAnsi="Tahoma" w:cs="Tahoma"/>
          <w:iCs/>
        </w:rPr>
        <w:t xml:space="preserve"> indeks</w:t>
      </w:r>
      <w:r w:rsidR="00712C23">
        <w:rPr>
          <w:rFonts w:ascii="Tahoma" w:hAnsi="Tahoma" w:cs="Tahoma"/>
          <w:iCs/>
        </w:rPr>
        <w:t>er</w:t>
      </w:r>
      <w:r>
        <w:rPr>
          <w:rFonts w:ascii="Tahoma" w:hAnsi="Tahoma" w:cs="Tahoma"/>
          <w:iCs/>
        </w:rPr>
        <w:t xml:space="preserve"> </w:t>
      </w:r>
      <w:r w:rsidR="007C3C08">
        <w:rPr>
          <w:rFonts w:ascii="Tahoma" w:hAnsi="Tahoma" w:cs="Tahoma"/>
          <w:iCs/>
        </w:rPr>
        <w:t>gennemsnittet af de sidste 6 (seks) måneders gennemsnit.</w:t>
      </w:r>
    </w:p>
    <w:p w14:paraId="0CB86799" w14:textId="77777777" w:rsidR="00DF24DD" w:rsidRPr="00456B15" w:rsidRDefault="00DF24DD" w:rsidP="00D44D6B">
      <w:pPr>
        <w:spacing w:line="360" w:lineRule="auto"/>
        <w:ind w:left="567"/>
        <w:jc w:val="both"/>
        <w:rPr>
          <w:rFonts w:ascii="Tahoma" w:hAnsi="Tahoma" w:cs="Tahoma"/>
          <w:iCs/>
        </w:rPr>
      </w:pPr>
    </w:p>
    <w:p w14:paraId="196AFE46" w14:textId="3308D522" w:rsidR="00DF24DD" w:rsidRPr="00DF24DD" w:rsidRDefault="00DF24DD" w:rsidP="00DF24DD">
      <w:pPr>
        <w:spacing w:line="360" w:lineRule="auto"/>
        <w:ind w:left="567"/>
        <w:jc w:val="both"/>
        <w:rPr>
          <w:rFonts w:ascii="Tahoma" w:hAnsi="Tahoma" w:cs="Tahoma"/>
          <w:color w:val="FF0000"/>
          <w:lang w:val="da"/>
        </w:rPr>
      </w:pPr>
      <w:r>
        <w:rPr>
          <w:rFonts w:ascii="Tahoma" w:hAnsi="Tahoma" w:cs="Tahoma"/>
          <w:lang w:val="da"/>
        </w:rPr>
        <w:t xml:space="preserve">Leverandøren er </w:t>
      </w:r>
      <w:r w:rsidRPr="00ED6D84">
        <w:rPr>
          <w:rFonts w:ascii="Tahoma" w:hAnsi="Tahoma" w:cs="Tahoma"/>
          <w:lang w:val="da"/>
        </w:rPr>
        <w:t xml:space="preserve">forpligtet til forud for </w:t>
      </w:r>
      <w:r>
        <w:rPr>
          <w:rFonts w:ascii="Tahoma" w:hAnsi="Tahoma" w:cs="Tahoma"/>
          <w:lang w:val="da"/>
        </w:rPr>
        <w:t>Ikrafttræden</w:t>
      </w:r>
      <w:r w:rsidRPr="00ED6D84">
        <w:rPr>
          <w:rFonts w:ascii="Tahoma" w:hAnsi="Tahoma" w:cs="Tahoma"/>
          <w:lang w:val="da"/>
        </w:rPr>
        <w:t xml:space="preserve"> af Aftalen, at sende indeksværdierne A</w:t>
      </w:r>
      <w:r w:rsidRPr="00ED6D84">
        <w:rPr>
          <w:rFonts w:ascii="Tahoma" w:hAnsi="Tahoma" w:cs="Tahoma"/>
          <w:vertAlign w:val="subscript"/>
          <w:lang w:val="da"/>
        </w:rPr>
        <w:t>0</w:t>
      </w:r>
      <w:r w:rsidR="007C3C08">
        <w:rPr>
          <w:rFonts w:ascii="Tahoma" w:hAnsi="Tahoma" w:cs="Tahoma"/>
          <w:lang w:val="da"/>
        </w:rPr>
        <w:t xml:space="preserve"> og </w:t>
      </w:r>
      <w:r w:rsidRPr="00ED6D84">
        <w:rPr>
          <w:rFonts w:ascii="Tahoma" w:hAnsi="Tahoma" w:cs="Tahoma"/>
          <w:lang w:val="da"/>
        </w:rPr>
        <w:t>B</w:t>
      </w:r>
      <w:r w:rsidRPr="00ED6D84">
        <w:rPr>
          <w:rFonts w:ascii="Tahoma" w:hAnsi="Tahoma" w:cs="Tahoma"/>
          <w:vertAlign w:val="subscript"/>
          <w:lang w:val="da"/>
        </w:rPr>
        <w:t>0</w:t>
      </w:r>
      <w:r w:rsidRPr="00ED6D84">
        <w:rPr>
          <w:rFonts w:ascii="Tahoma" w:hAnsi="Tahoma" w:cs="Tahoma"/>
          <w:lang w:val="da"/>
        </w:rPr>
        <w:t>, og dokumentationen for udregningen af indeksværdierne</w:t>
      </w:r>
      <w:r>
        <w:rPr>
          <w:rFonts w:ascii="Tahoma" w:hAnsi="Tahoma" w:cs="Tahoma"/>
          <w:lang w:val="da"/>
        </w:rPr>
        <w:t xml:space="preserve">, hvor </w:t>
      </w:r>
      <w:r w:rsidRPr="00ED6D84">
        <w:rPr>
          <w:rFonts w:ascii="Tahoma" w:hAnsi="Tahoma" w:cs="Tahoma"/>
          <w:lang w:val="da"/>
        </w:rPr>
        <w:t>A</w:t>
      </w:r>
      <w:r w:rsidRPr="00ED6D84">
        <w:rPr>
          <w:rFonts w:ascii="Tahoma" w:hAnsi="Tahoma" w:cs="Tahoma"/>
          <w:vertAlign w:val="subscript"/>
          <w:lang w:val="da"/>
        </w:rPr>
        <w:t>0</w:t>
      </w:r>
      <w:r w:rsidRPr="00ED6D84">
        <w:rPr>
          <w:rFonts w:ascii="Tahoma" w:hAnsi="Tahoma" w:cs="Tahoma"/>
          <w:lang w:val="da"/>
        </w:rPr>
        <w:t xml:space="preserve"> B</w:t>
      </w:r>
      <w:r w:rsidRPr="00ED6D84">
        <w:rPr>
          <w:rFonts w:ascii="Tahoma" w:hAnsi="Tahoma" w:cs="Tahoma"/>
          <w:vertAlign w:val="subscript"/>
          <w:lang w:val="da"/>
        </w:rPr>
        <w:t>0</w:t>
      </w:r>
      <w:r w:rsidRPr="00ED6D84">
        <w:rPr>
          <w:rFonts w:ascii="Tahoma" w:hAnsi="Tahoma" w:cs="Tahoma"/>
          <w:lang w:val="da"/>
        </w:rPr>
        <w:t xml:space="preserve"> </w:t>
      </w:r>
      <w:r>
        <w:rPr>
          <w:rFonts w:ascii="Tahoma" w:hAnsi="Tahoma" w:cs="Tahoma"/>
          <w:lang w:val="da"/>
        </w:rPr>
        <w:t xml:space="preserve">er defineret </w:t>
      </w:r>
      <w:r w:rsidR="007C3C08">
        <w:rPr>
          <w:rFonts w:ascii="Tahoma" w:hAnsi="Tahoma" w:cs="Tahoma"/>
          <w:lang w:val="da"/>
        </w:rPr>
        <w:t>som gennemsnittet af de sidste 6</w:t>
      </w:r>
      <w:r>
        <w:rPr>
          <w:rFonts w:ascii="Tahoma" w:hAnsi="Tahoma" w:cs="Tahoma"/>
          <w:lang w:val="da"/>
        </w:rPr>
        <w:t xml:space="preserve"> kalendermåneders v</w:t>
      </w:r>
      <w:r w:rsidR="007C3C08">
        <w:rPr>
          <w:rFonts w:ascii="Tahoma" w:hAnsi="Tahoma" w:cs="Tahoma"/>
          <w:lang w:val="da"/>
        </w:rPr>
        <w:t xml:space="preserve">ærdier </w:t>
      </w:r>
      <w:r>
        <w:rPr>
          <w:rFonts w:ascii="Tahoma" w:hAnsi="Tahoma" w:cs="Tahoma"/>
          <w:lang w:val="da"/>
        </w:rPr>
        <w:t>før Ikrafttræden, for det respektive indeks</w:t>
      </w:r>
      <w:r w:rsidRPr="00ED6D84">
        <w:rPr>
          <w:rFonts w:ascii="Tahoma" w:hAnsi="Tahoma" w:cs="Tahoma"/>
          <w:lang w:val="da"/>
        </w:rPr>
        <w:t>.</w:t>
      </w:r>
      <w:r>
        <w:rPr>
          <w:rFonts w:ascii="Tahoma" w:hAnsi="Tahoma" w:cs="Tahoma"/>
          <w:color w:val="FF0000"/>
          <w:lang w:val="da"/>
        </w:rPr>
        <w:t xml:space="preserve"> </w:t>
      </w:r>
      <w:r w:rsidRPr="00ED6D84">
        <w:rPr>
          <w:rFonts w:ascii="Tahoma" w:hAnsi="Tahoma" w:cs="Tahoma"/>
          <w:lang w:val="da"/>
        </w:rPr>
        <w:t>A</w:t>
      </w:r>
      <w:r w:rsidRPr="00ED6D84">
        <w:rPr>
          <w:rFonts w:ascii="Tahoma" w:hAnsi="Tahoma" w:cs="Tahoma"/>
          <w:vertAlign w:val="subscript"/>
          <w:lang w:val="da"/>
        </w:rPr>
        <w:t>0</w:t>
      </w:r>
      <w:r w:rsidR="007C3C08">
        <w:rPr>
          <w:rFonts w:ascii="Tahoma" w:hAnsi="Tahoma" w:cs="Tahoma"/>
          <w:lang w:val="da"/>
        </w:rPr>
        <w:t xml:space="preserve"> og </w:t>
      </w:r>
      <w:r w:rsidRPr="00ED6D84">
        <w:rPr>
          <w:rFonts w:ascii="Tahoma" w:hAnsi="Tahoma" w:cs="Tahoma"/>
          <w:lang w:val="da"/>
        </w:rPr>
        <w:t>B</w:t>
      </w:r>
      <w:r w:rsidRPr="00ED6D84">
        <w:rPr>
          <w:rFonts w:ascii="Tahoma" w:hAnsi="Tahoma" w:cs="Tahoma"/>
          <w:vertAlign w:val="subscript"/>
          <w:lang w:val="da"/>
        </w:rPr>
        <w:t>0</w:t>
      </w:r>
      <w:r w:rsidR="007C3C08">
        <w:rPr>
          <w:rFonts w:ascii="Tahoma" w:hAnsi="Tahoma" w:cs="Tahoma"/>
          <w:lang w:val="da"/>
        </w:rPr>
        <w:t xml:space="preserve"> </w:t>
      </w:r>
      <w:r>
        <w:rPr>
          <w:rFonts w:ascii="Tahoma" w:hAnsi="Tahoma" w:cs="Tahoma"/>
          <w:lang w:val="da"/>
        </w:rPr>
        <w:t xml:space="preserve">er ved Ikrafttræden således: </w:t>
      </w:r>
    </w:p>
    <w:p w14:paraId="38A984EB" w14:textId="77777777" w:rsidR="00D44D6B" w:rsidRPr="00456B15" w:rsidRDefault="00D44D6B" w:rsidP="00D44D6B">
      <w:pPr>
        <w:spacing w:line="360" w:lineRule="auto"/>
        <w:ind w:left="567"/>
        <w:jc w:val="both"/>
        <w:rPr>
          <w:rFonts w:ascii="Tahoma" w:hAnsi="Tahoma" w:cs="Tahoma"/>
          <w:lang w:val="da"/>
        </w:rPr>
      </w:pPr>
    </w:p>
    <w:p w14:paraId="5A5CFBC5" w14:textId="2318619D" w:rsidR="00D44D6B" w:rsidRPr="00456B15" w:rsidRDefault="007C3C08" w:rsidP="00D44D6B">
      <w:pPr>
        <w:spacing w:line="360" w:lineRule="auto"/>
        <w:ind w:left="567"/>
        <w:jc w:val="both"/>
        <w:rPr>
          <w:rFonts w:ascii="Tahoma" w:hAnsi="Tahoma" w:cs="Tahoma"/>
          <w:lang w:val="da"/>
        </w:rPr>
      </w:pPr>
      <w:r>
        <w:rPr>
          <w:rFonts w:ascii="Tahoma" w:hAnsi="Tahoma" w:cs="Tahoma"/>
          <w:lang w:val="da"/>
        </w:rPr>
        <w:t>Nettoprisindeks</w:t>
      </w:r>
      <w:r w:rsidR="0058594C">
        <w:rPr>
          <w:rFonts w:ascii="Tahoma" w:hAnsi="Tahoma" w:cs="Tahoma"/>
          <w:lang w:val="da"/>
        </w:rPr>
        <w:t xml:space="preserve"> </w:t>
      </w:r>
      <w:r w:rsidR="00D44D6B" w:rsidRPr="00456B15">
        <w:rPr>
          <w:rFonts w:ascii="Tahoma" w:hAnsi="Tahoma" w:cs="Tahoma"/>
          <w:lang w:val="da"/>
        </w:rPr>
        <w:t>(A</w:t>
      </w:r>
      <w:r w:rsidR="00D44D6B" w:rsidRPr="00017E1C">
        <w:rPr>
          <w:rFonts w:ascii="Tahoma" w:hAnsi="Tahoma" w:cs="Tahoma"/>
          <w:vertAlign w:val="subscript"/>
          <w:lang w:val="da"/>
        </w:rPr>
        <w:t>0</w:t>
      </w:r>
      <w:r w:rsidR="00D44D6B" w:rsidRPr="00017E1C">
        <w:rPr>
          <w:rFonts w:ascii="Tahoma" w:hAnsi="Tahoma" w:cs="Tahoma"/>
          <w:lang w:val="da"/>
        </w:rPr>
        <w:t xml:space="preserve">): </w:t>
      </w:r>
      <w:r w:rsidR="00D44D6B" w:rsidRPr="004D2403">
        <w:rPr>
          <w:rFonts w:ascii="Tahoma" w:hAnsi="Tahoma" w:cs="Tahoma"/>
          <w:lang w:val="da"/>
        </w:rPr>
        <w:tab/>
      </w:r>
      <w:r w:rsidR="00D44D6B" w:rsidRPr="00DF24DD">
        <w:rPr>
          <w:rFonts w:ascii="Tahoma" w:hAnsi="Tahoma" w:cs="Tahoma"/>
          <w:highlight w:val="yellow"/>
          <w:lang w:val="da"/>
        </w:rPr>
        <w:t>[indsæt</w:t>
      </w:r>
      <w:r w:rsidR="00DF24DD">
        <w:rPr>
          <w:rFonts w:ascii="Tahoma" w:hAnsi="Tahoma" w:cs="Tahoma"/>
          <w:highlight w:val="yellow"/>
          <w:lang w:val="da"/>
        </w:rPr>
        <w:t xml:space="preserve"> inden Ikrafttræden af Aftalen</w:t>
      </w:r>
      <w:r w:rsidR="00D44D6B" w:rsidRPr="00DF24DD">
        <w:rPr>
          <w:rFonts w:ascii="Tahoma" w:hAnsi="Tahoma" w:cs="Tahoma"/>
          <w:highlight w:val="yellow"/>
          <w:lang w:val="da"/>
        </w:rPr>
        <w:t xml:space="preserve">: </w:t>
      </w:r>
      <w:r w:rsidR="004758F4">
        <w:rPr>
          <w:rFonts w:ascii="Tahoma" w:hAnsi="Tahoma" w:cs="Tahoma"/>
          <w:highlight w:val="yellow"/>
          <w:lang w:val="da"/>
        </w:rPr>
        <w:t>eks.</w:t>
      </w:r>
      <w:r w:rsidR="00D44D6B" w:rsidRPr="00DF24DD">
        <w:rPr>
          <w:rFonts w:ascii="Tahoma" w:hAnsi="Tahoma" w:cs="Tahoma"/>
          <w:highlight w:val="yellow"/>
          <w:lang w:val="da"/>
        </w:rPr>
        <w:t xml:space="preserve"> 1</w:t>
      </w:r>
      <w:r>
        <w:rPr>
          <w:rFonts w:ascii="Tahoma" w:hAnsi="Tahoma" w:cs="Tahoma"/>
          <w:highlight w:val="yellow"/>
          <w:lang w:val="da"/>
        </w:rPr>
        <w:t>10</w:t>
      </w:r>
      <w:r w:rsidR="00D44D6B" w:rsidRPr="00DF24DD">
        <w:rPr>
          <w:rFonts w:ascii="Tahoma" w:hAnsi="Tahoma" w:cs="Tahoma"/>
          <w:highlight w:val="yellow"/>
          <w:lang w:val="da"/>
        </w:rPr>
        <w:t>]</w:t>
      </w:r>
    </w:p>
    <w:p w14:paraId="3C338A96" w14:textId="45DA406C" w:rsidR="00D44D6B" w:rsidRPr="00456B15" w:rsidRDefault="007C3C08" w:rsidP="00D44D6B">
      <w:pPr>
        <w:spacing w:line="360" w:lineRule="auto"/>
        <w:ind w:left="567"/>
        <w:jc w:val="both"/>
        <w:rPr>
          <w:rFonts w:ascii="Tahoma" w:hAnsi="Tahoma" w:cs="Tahoma"/>
        </w:rPr>
      </w:pPr>
      <w:r>
        <w:rPr>
          <w:rFonts w:ascii="Tahoma" w:hAnsi="Tahoma" w:cs="Tahoma"/>
        </w:rPr>
        <w:t>Day-</w:t>
      </w:r>
      <w:proofErr w:type="spellStart"/>
      <w:r>
        <w:rPr>
          <w:rFonts w:ascii="Tahoma" w:hAnsi="Tahoma" w:cs="Tahoma"/>
        </w:rPr>
        <w:t>ahead</w:t>
      </w:r>
      <w:proofErr w:type="spellEnd"/>
      <w:r>
        <w:rPr>
          <w:rFonts w:ascii="Tahoma" w:hAnsi="Tahoma" w:cs="Tahoma"/>
        </w:rPr>
        <w:t xml:space="preserve"> </w:t>
      </w:r>
      <w:proofErr w:type="spellStart"/>
      <w:r>
        <w:rPr>
          <w:rFonts w:ascii="Tahoma" w:hAnsi="Tahoma" w:cs="Tahoma"/>
        </w:rPr>
        <w:t>price</w:t>
      </w:r>
      <w:proofErr w:type="spellEnd"/>
      <w:r w:rsidR="00D44D6B" w:rsidRPr="00456B15">
        <w:rPr>
          <w:rFonts w:ascii="Tahoma" w:hAnsi="Tahoma" w:cs="Tahoma"/>
        </w:rPr>
        <w:t xml:space="preserve"> (B</w:t>
      </w:r>
      <w:r w:rsidR="00D44D6B" w:rsidRPr="00456B15">
        <w:rPr>
          <w:rFonts w:ascii="Tahoma" w:hAnsi="Tahoma" w:cs="Tahoma"/>
          <w:vertAlign w:val="subscript"/>
        </w:rPr>
        <w:t>0</w:t>
      </w:r>
      <w:r w:rsidR="00D44D6B" w:rsidRPr="00456B15">
        <w:rPr>
          <w:rFonts w:ascii="Tahoma" w:hAnsi="Tahoma" w:cs="Tahoma"/>
        </w:rPr>
        <w:t>):</w:t>
      </w:r>
      <w:r w:rsidR="00D44D6B" w:rsidRPr="00456B15">
        <w:rPr>
          <w:rFonts w:ascii="Tahoma" w:hAnsi="Tahoma" w:cs="Tahoma"/>
        </w:rPr>
        <w:tab/>
      </w:r>
      <w:r w:rsidR="00D44D6B" w:rsidRPr="00DF24DD">
        <w:rPr>
          <w:rFonts w:ascii="Tahoma" w:hAnsi="Tahoma" w:cs="Tahoma"/>
          <w:highlight w:val="yellow"/>
        </w:rPr>
        <w:t>[indsæt</w:t>
      </w:r>
      <w:r w:rsidR="00DF24DD">
        <w:rPr>
          <w:rFonts w:ascii="Tahoma" w:hAnsi="Tahoma" w:cs="Tahoma"/>
          <w:highlight w:val="yellow"/>
        </w:rPr>
        <w:t xml:space="preserve"> </w:t>
      </w:r>
      <w:r w:rsidR="00DF24DD">
        <w:rPr>
          <w:rFonts w:ascii="Tahoma" w:hAnsi="Tahoma" w:cs="Tahoma"/>
          <w:highlight w:val="yellow"/>
          <w:lang w:val="da"/>
        </w:rPr>
        <w:t>inden Ikrafttræden af Aftalen</w:t>
      </w:r>
      <w:r>
        <w:rPr>
          <w:rFonts w:ascii="Tahoma" w:hAnsi="Tahoma" w:cs="Tahoma"/>
          <w:highlight w:val="yellow"/>
          <w:lang w:val="da"/>
        </w:rPr>
        <w:t xml:space="preserve">: </w:t>
      </w:r>
      <w:r w:rsidR="004758F4">
        <w:rPr>
          <w:rFonts w:ascii="Tahoma" w:hAnsi="Tahoma" w:cs="Tahoma"/>
          <w:highlight w:val="yellow"/>
          <w:lang w:val="da"/>
        </w:rPr>
        <w:t>eks.</w:t>
      </w:r>
      <w:r>
        <w:rPr>
          <w:rFonts w:ascii="Tahoma" w:hAnsi="Tahoma" w:cs="Tahoma"/>
          <w:highlight w:val="yellow"/>
          <w:lang w:val="da"/>
        </w:rPr>
        <w:t xml:space="preserve"> 125</w:t>
      </w:r>
      <w:r w:rsidR="00D44D6B" w:rsidRPr="00DF24DD">
        <w:rPr>
          <w:rFonts w:ascii="Tahoma" w:hAnsi="Tahoma" w:cs="Tahoma"/>
          <w:highlight w:val="yellow"/>
          <w:lang w:val="da"/>
        </w:rPr>
        <w:t>0]</w:t>
      </w:r>
    </w:p>
    <w:p w14:paraId="7A030C1A" w14:textId="77777777" w:rsidR="00D44D6B" w:rsidRPr="007C07E7" w:rsidRDefault="00D44D6B" w:rsidP="00D44D6B">
      <w:pPr>
        <w:spacing w:line="360" w:lineRule="auto"/>
        <w:ind w:left="567"/>
        <w:jc w:val="both"/>
        <w:rPr>
          <w:rFonts w:ascii="Tahoma" w:hAnsi="Tahoma" w:cs="Tahoma"/>
          <w:iCs/>
        </w:rPr>
      </w:pPr>
    </w:p>
    <w:p w14:paraId="61F4494A" w14:textId="77777777" w:rsidR="00AF04CC" w:rsidRDefault="00AF04CC">
      <w:pPr>
        <w:rPr>
          <w:rFonts w:ascii="Tahoma" w:hAnsi="Tahoma" w:cs="Tahoma"/>
          <w:iCs/>
        </w:rPr>
      </w:pPr>
      <w:r>
        <w:rPr>
          <w:rFonts w:ascii="Tahoma" w:hAnsi="Tahoma" w:cs="Tahoma"/>
          <w:iCs/>
        </w:rPr>
        <w:br w:type="page"/>
      </w:r>
    </w:p>
    <w:p w14:paraId="73AC81DB" w14:textId="6FAA21A3" w:rsidR="00D44D6B" w:rsidRDefault="00D44D6B" w:rsidP="00D44D6B">
      <w:pPr>
        <w:spacing w:line="360" w:lineRule="auto"/>
        <w:ind w:left="567"/>
        <w:jc w:val="both"/>
        <w:rPr>
          <w:rFonts w:ascii="Tahoma" w:hAnsi="Tahoma" w:cs="Tahoma"/>
          <w:iCs/>
        </w:rPr>
      </w:pPr>
      <w:r w:rsidRPr="007C07E7">
        <w:rPr>
          <w:rFonts w:ascii="Tahoma" w:hAnsi="Tahoma" w:cs="Tahoma"/>
          <w:iCs/>
        </w:rPr>
        <w:lastRenderedPageBreak/>
        <w:t xml:space="preserve">Indeksværdierne </w:t>
      </w:r>
      <w:r w:rsidRPr="007C07E7">
        <w:rPr>
          <w:rFonts w:ascii="Tahoma" w:hAnsi="Tahoma" w:cs="Tahoma"/>
          <w:lang w:val="da"/>
        </w:rPr>
        <w:t>A</w:t>
      </w:r>
      <w:r w:rsidRPr="007C07E7">
        <w:rPr>
          <w:rFonts w:ascii="Tahoma" w:hAnsi="Tahoma" w:cs="Tahoma"/>
          <w:vertAlign w:val="subscript"/>
          <w:lang w:val="da"/>
        </w:rPr>
        <w:t>1</w:t>
      </w:r>
      <w:r w:rsidR="007C3C08">
        <w:rPr>
          <w:rFonts w:ascii="Tahoma" w:hAnsi="Tahoma" w:cs="Tahoma"/>
          <w:lang w:val="da"/>
        </w:rPr>
        <w:t xml:space="preserve"> og</w:t>
      </w:r>
      <w:r w:rsidRPr="007C07E7">
        <w:rPr>
          <w:rFonts w:ascii="Tahoma" w:hAnsi="Tahoma" w:cs="Tahoma"/>
          <w:lang w:val="da"/>
        </w:rPr>
        <w:t xml:space="preserve"> B</w:t>
      </w:r>
      <w:r w:rsidRPr="007C07E7">
        <w:rPr>
          <w:rFonts w:ascii="Tahoma" w:hAnsi="Tahoma" w:cs="Tahoma"/>
          <w:vertAlign w:val="subscript"/>
          <w:lang w:val="da"/>
        </w:rPr>
        <w:t>1</w:t>
      </w:r>
      <w:r w:rsidR="007C3C08">
        <w:rPr>
          <w:rFonts w:ascii="Tahoma" w:hAnsi="Tahoma" w:cs="Tahoma"/>
          <w:lang w:val="da"/>
        </w:rPr>
        <w:t xml:space="preserve"> </w:t>
      </w:r>
      <w:r w:rsidRPr="007C07E7">
        <w:rPr>
          <w:rFonts w:ascii="Tahoma" w:hAnsi="Tahoma" w:cs="Tahoma"/>
          <w:iCs/>
        </w:rPr>
        <w:t xml:space="preserve">er defineret som </w:t>
      </w:r>
      <w:r w:rsidRPr="007C07E7">
        <w:rPr>
          <w:rFonts w:ascii="Tahoma" w:hAnsi="Tahoma" w:cs="Tahoma"/>
          <w:lang w:val="da"/>
        </w:rPr>
        <w:t>gennemsnittet</w:t>
      </w:r>
      <w:r w:rsidR="007C3C08">
        <w:rPr>
          <w:rFonts w:ascii="Tahoma" w:hAnsi="Tahoma" w:cs="Tahoma"/>
          <w:iCs/>
        </w:rPr>
        <w:t xml:space="preserve"> af de sidste 6</w:t>
      </w:r>
      <w:r w:rsidRPr="007C07E7">
        <w:rPr>
          <w:rFonts w:ascii="Tahoma" w:hAnsi="Tahoma" w:cs="Tahoma"/>
          <w:iCs/>
        </w:rPr>
        <w:t xml:space="preserve"> måneders værdier</w:t>
      </w:r>
      <w:r w:rsidR="00DF24DD">
        <w:rPr>
          <w:rFonts w:ascii="Tahoma" w:hAnsi="Tahoma" w:cs="Tahoma"/>
          <w:iCs/>
        </w:rPr>
        <w:t xml:space="preserve"> </w:t>
      </w:r>
      <w:r w:rsidRPr="007C07E7">
        <w:rPr>
          <w:rFonts w:ascii="Tahoma" w:hAnsi="Tahoma" w:cs="Tahoma"/>
          <w:iCs/>
        </w:rPr>
        <w:t>før reguleringsmåneden</w:t>
      </w:r>
      <w:r w:rsidR="00DF24DD">
        <w:rPr>
          <w:rFonts w:ascii="Tahoma" w:hAnsi="Tahoma" w:cs="Tahoma"/>
          <w:iCs/>
        </w:rPr>
        <w:t>, for det respektive indeks</w:t>
      </w:r>
      <w:r w:rsidRPr="007C07E7">
        <w:rPr>
          <w:rFonts w:ascii="Tahoma" w:hAnsi="Tahoma" w:cs="Tahoma"/>
          <w:iCs/>
        </w:rPr>
        <w:t>.</w:t>
      </w:r>
    </w:p>
    <w:p w14:paraId="3BFEB6EE" w14:textId="77777777" w:rsidR="00173F3C" w:rsidRDefault="00173F3C" w:rsidP="00D44D6B">
      <w:pPr>
        <w:spacing w:line="360" w:lineRule="auto"/>
        <w:ind w:left="567"/>
        <w:jc w:val="both"/>
        <w:rPr>
          <w:rFonts w:ascii="Tahoma" w:hAnsi="Tahoma" w:cs="Tahoma"/>
          <w:iCs/>
        </w:rPr>
      </w:pPr>
    </w:p>
    <w:p w14:paraId="35BC926B" w14:textId="628E2FEB" w:rsidR="00D44D6B" w:rsidRDefault="00D44D6B" w:rsidP="00173F3C">
      <w:pPr>
        <w:spacing w:line="360" w:lineRule="auto"/>
        <w:ind w:left="567"/>
        <w:jc w:val="both"/>
        <w:rPr>
          <w:rFonts w:ascii="Tahoma" w:hAnsi="Tahoma" w:cs="Tahoma"/>
          <w:lang w:val="da"/>
        </w:rPr>
      </w:pPr>
      <w:r>
        <w:rPr>
          <w:rFonts w:ascii="Tahoma" w:hAnsi="Tahoma" w:cs="Tahoma"/>
          <w:lang w:val="da"/>
        </w:rPr>
        <w:t>Prisreguleringen sker i henhold til følgende formel (a, b, skal være med en decimal, og summen skal være 1,0):</w:t>
      </w:r>
    </w:p>
    <w:p w14:paraId="1E49D110" w14:textId="77777777" w:rsidR="00D44D6B" w:rsidRPr="00821A09" w:rsidRDefault="00B76C68" w:rsidP="00D44D6B">
      <w:pPr>
        <w:spacing w:line="360" w:lineRule="auto"/>
        <w:jc w:val="both"/>
        <w:rPr>
          <w:rFonts w:ascii="Tahoma" w:hAnsi="Tahoma" w:cs="Tahoma"/>
        </w:rPr>
      </w:pPr>
      <w:r>
        <w:rPr>
          <w:noProof/>
          <w:lang w:val="en-US" w:eastAsia="en-US"/>
        </w:rPr>
        <mc:AlternateContent>
          <mc:Choice Requires="wps">
            <w:drawing>
              <wp:anchor distT="0" distB="0" distL="114300" distR="114300" simplePos="0" relativeHeight="251659264" behindDoc="0" locked="0" layoutInCell="1" allowOverlap="1" wp14:anchorId="41CFC12D" wp14:editId="05ADFF09">
                <wp:simplePos x="0" y="0"/>
                <wp:positionH relativeFrom="column">
                  <wp:posOffset>1283212</wp:posOffset>
                </wp:positionH>
                <wp:positionV relativeFrom="paragraph">
                  <wp:posOffset>113551</wp:posOffset>
                </wp:positionV>
                <wp:extent cx="3670300" cy="2477069"/>
                <wp:effectExtent l="19050" t="19050" r="44450" b="381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2477069"/>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DA2CF6" w14:textId="383EC8E2" w:rsidR="00D44D6B" w:rsidRPr="00691A07" w:rsidRDefault="00425394" w:rsidP="00D44D6B">
                            <w:pPr>
                              <w:spacing w:line="360" w:lineRule="auto"/>
                              <w:rPr>
                                <w:sz w:val="16"/>
                                <w:szCs w:val="16"/>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 xml:space="preserve"> a×</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0</m:t>
                                                </m:r>
                                              </m:sub>
                                            </m:sSub>
                                          </m:den>
                                        </m:f>
                                      </m:e>
                                    </m:d>
                                    <m:r>
                                      <w:rPr>
                                        <w:rFonts w:ascii="Cambria Math" w:hAnsi="Cambria Math"/>
                                      </w:rPr>
                                      <m:t>+b×</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1</m:t>
                                                </m:r>
                                              </m:sub>
                                            </m:sSub>
                                          </m:num>
                                          <m:den>
                                            <m:sSub>
                                              <m:sSubPr>
                                                <m:ctrlPr>
                                                  <w:rPr>
                                                    <w:rFonts w:ascii="Cambria Math" w:hAnsi="Cambria Math"/>
                                                    <w:i/>
                                                  </w:rPr>
                                                </m:ctrlPr>
                                              </m:sSubPr>
                                              <m:e>
                                                <m:r>
                                                  <w:rPr>
                                                    <w:rFonts w:ascii="Cambria Math" w:hAnsi="Cambria Math"/>
                                                  </w:rPr>
                                                  <m:t>B</m:t>
                                                </m:r>
                                              </m:e>
                                              <m:sub>
                                                <m:r>
                                                  <w:rPr>
                                                    <w:rFonts w:ascii="Cambria Math" w:hAnsi="Cambria Math"/>
                                                  </w:rPr>
                                                  <m:t>0</m:t>
                                                </m:r>
                                              </m:sub>
                                            </m:sSub>
                                          </m:den>
                                        </m:f>
                                      </m:e>
                                    </m:d>
                                  </m:e>
                                </m:d>
                              </m:oMath>
                            </m:oMathPara>
                          </w:p>
                          <w:p w14:paraId="19FBA99E" w14:textId="77777777" w:rsidR="00D44D6B" w:rsidRPr="007C07E7" w:rsidRDefault="00D44D6B" w:rsidP="00D44D6B">
                            <w:pPr>
                              <w:spacing w:line="360" w:lineRule="auto"/>
                              <w:rPr>
                                <w:rFonts w:cs="Arial"/>
                                <w:sz w:val="16"/>
                                <w:szCs w:val="16"/>
                              </w:rPr>
                            </w:pPr>
                            <w:r>
                              <w:rPr>
                                <w:sz w:val="16"/>
                                <w:szCs w:val="16"/>
                                <w:lang w:val="da"/>
                              </w:rPr>
                              <w:t>P</w:t>
                            </w:r>
                            <w:r>
                              <w:rPr>
                                <w:sz w:val="16"/>
                                <w:szCs w:val="16"/>
                                <w:vertAlign w:val="subscript"/>
                                <w:lang w:val="da"/>
                              </w:rPr>
                              <w:t>1</w:t>
                            </w:r>
                            <w:r>
                              <w:rPr>
                                <w:sz w:val="16"/>
                                <w:szCs w:val="16"/>
                                <w:lang w:val="da"/>
                              </w:rPr>
                              <w:t xml:space="preserve"> = </w:t>
                            </w:r>
                            <w:r w:rsidRPr="007C07E7">
                              <w:rPr>
                                <w:rFonts w:cs="Arial"/>
                                <w:sz w:val="16"/>
                                <w:szCs w:val="16"/>
                                <w:lang w:val="da"/>
                              </w:rPr>
                              <w:t>Den regulerede pris</w:t>
                            </w:r>
                          </w:p>
                          <w:p w14:paraId="66A6DA7A" w14:textId="77777777" w:rsidR="00D44D6B" w:rsidRPr="007C07E7" w:rsidRDefault="00D44D6B" w:rsidP="00D44D6B">
                            <w:pPr>
                              <w:spacing w:line="360" w:lineRule="auto"/>
                              <w:rPr>
                                <w:rFonts w:cs="Arial"/>
                                <w:sz w:val="16"/>
                                <w:szCs w:val="16"/>
                                <w:lang w:val="da"/>
                              </w:rPr>
                            </w:pPr>
                            <w:r w:rsidRPr="007C07E7">
                              <w:rPr>
                                <w:rFonts w:cs="Arial"/>
                                <w:sz w:val="16"/>
                                <w:szCs w:val="16"/>
                                <w:lang w:val="da"/>
                              </w:rPr>
                              <w:t>P</w:t>
                            </w:r>
                            <w:r w:rsidRPr="007C07E7">
                              <w:rPr>
                                <w:rFonts w:cs="Arial"/>
                                <w:sz w:val="16"/>
                                <w:szCs w:val="16"/>
                                <w:vertAlign w:val="subscript"/>
                                <w:lang w:val="da"/>
                              </w:rPr>
                              <w:t>0</w:t>
                            </w:r>
                            <w:r w:rsidRPr="007C07E7">
                              <w:rPr>
                                <w:rFonts w:cs="Arial"/>
                                <w:sz w:val="16"/>
                                <w:szCs w:val="16"/>
                                <w:lang w:val="da"/>
                              </w:rPr>
                              <w:t xml:space="preserve"> = Den pris, der skal reguleres</w:t>
                            </w:r>
                          </w:p>
                          <w:p w14:paraId="06A009AF" w14:textId="77777777" w:rsidR="00D44D6B" w:rsidRPr="00017E1C" w:rsidRDefault="00D44D6B" w:rsidP="00D44D6B">
                            <w:pPr>
                              <w:spacing w:line="360" w:lineRule="auto"/>
                              <w:rPr>
                                <w:rFonts w:cs="Arial"/>
                                <w:sz w:val="16"/>
                                <w:szCs w:val="16"/>
                              </w:rPr>
                            </w:pPr>
                            <w:r w:rsidRPr="00017E1C">
                              <w:rPr>
                                <w:rFonts w:cs="Arial"/>
                                <w:sz w:val="16"/>
                                <w:szCs w:val="16"/>
                                <w:lang w:val="da"/>
                              </w:rPr>
                              <w:t>a   = [</w:t>
                            </w:r>
                            <w:r w:rsidRPr="005E59E0">
                              <w:rPr>
                                <w:rFonts w:cs="Arial"/>
                                <w:sz w:val="16"/>
                                <w:szCs w:val="16"/>
                                <w:lang w:val="da"/>
                              </w:rPr>
                              <w:t>Den vægt, som udviklingen i materialepriserne (A) vælges at have</w:t>
                            </w:r>
                            <w:r w:rsidRPr="00017E1C">
                              <w:rPr>
                                <w:rFonts w:cs="Arial"/>
                                <w:sz w:val="16"/>
                                <w:szCs w:val="16"/>
                                <w:lang w:val="da"/>
                              </w:rPr>
                              <w:t xml:space="preserve">] </w:t>
                            </w:r>
                          </w:p>
                          <w:p w14:paraId="44A040BC" w14:textId="2810CBA7" w:rsidR="00D44D6B" w:rsidRPr="004D2403" w:rsidRDefault="00D44D6B" w:rsidP="00D44D6B">
                            <w:pPr>
                              <w:spacing w:line="360" w:lineRule="auto"/>
                              <w:rPr>
                                <w:rFonts w:cs="Arial"/>
                                <w:sz w:val="16"/>
                                <w:szCs w:val="16"/>
                              </w:rPr>
                            </w:pPr>
                            <w:r w:rsidRPr="00017E1C">
                              <w:rPr>
                                <w:rFonts w:cs="Arial"/>
                                <w:sz w:val="16"/>
                                <w:szCs w:val="16"/>
                                <w:lang w:val="da"/>
                              </w:rPr>
                              <w:t>A</w:t>
                            </w:r>
                            <w:r w:rsidRPr="004D2403">
                              <w:rPr>
                                <w:rFonts w:cs="Arial"/>
                                <w:sz w:val="16"/>
                                <w:szCs w:val="16"/>
                                <w:vertAlign w:val="subscript"/>
                                <w:lang w:val="da"/>
                              </w:rPr>
                              <w:t xml:space="preserve">1 </w:t>
                            </w:r>
                            <w:r w:rsidRPr="004D2403">
                              <w:rPr>
                                <w:rFonts w:cs="Arial"/>
                                <w:sz w:val="16"/>
                                <w:szCs w:val="16"/>
                                <w:lang w:val="da"/>
                              </w:rPr>
                              <w:t xml:space="preserve">= Indeksværdien for </w:t>
                            </w:r>
                            <w:r w:rsidR="0058594C">
                              <w:rPr>
                                <w:rFonts w:cs="Arial"/>
                                <w:sz w:val="16"/>
                                <w:szCs w:val="16"/>
                                <w:lang w:val="da"/>
                              </w:rPr>
                              <w:t>Nettoprisindeks</w:t>
                            </w:r>
                            <w:r w:rsidR="0058594C" w:rsidRPr="004D2403">
                              <w:rPr>
                                <w:rFonts w:cs="Arial"/>
                                <w:sz w:val="16"/>
                                <w:szCs w:val="16"/>
                                <w:lang w:val="da"/>
                              </w:rPr>
                              <w:t xml:space="preserve"> </w:t>
                            </w:r>
                            <w:r w:rsidRPr="004D2403">
                              <w:rPr>
                                <w:rFonts w:cs="Arial"/>
                                <w:sz w:val="16"/>
                                <w:szCs w:val="16"/>
                                <w:lang w:val="da"/>
                              </w:rPr>
                              <w:t xml:space="preserve">på tidspunktet for regulering </w:t>
                            </w:r>
                          </w:p>
                          <w:p w14:paraId="52E0550C" w14:textId="6282BD92" w:rsidR="00D44D6B" w:rsidRPr="00017E1C" w:rsidRDefault="00D44D6B" w:rsidP="00D44D6B">
                            <w:pPr>
                              <w:spacing w:line="360" w:lineRule="auto"/>
                              <w:rPr>
                                <w:rFonts w:cs="Arial"/>
                                <w:sz w:val="16"/>
                                <w:szCs w:val="16"/>
                              </w:rPr>
                            </w:pPr>
                            <w:r w:rsidRPr="00017E1C">
                              <w:rPr>
                                <w:rFonts w:cs="Arial"/>
                                <w:sz w:val="16"/>
                                <w:szCs w:val="16"/>
                              </w:rPr>
                              <w:t>A</w:t>
                            </w:r>
                            <w:r w:rsidRPr="00017E1C">
                              <w:rPr>
                                <w:rFonts w:cs="Arial"/>
                                <w:sz w:val="16"/>
                                <w:szCs w:val="16"/>
                                <w:vertAlign w:val="subscript"/>
                                <w:lang w:val="da"/>
                              </w:rPr>
                              <w:t xml:space="preserve">0 </w:t>
                            </w:r>
                            <w:r w:rsidR="0058594C">
                              <w:rPr>
                                <w:rFonts w:cs="Arial"/>
                                <w:sz w:val="16"/>
                                <w:szCs w:val="16"/>
                                <w:lang w:val="da"/>
                              </w:rPr>
                              <w:t>= Indeksværdien for Nettoprisindeks</w:t>
                            </w:r>
                            <w:r w:rsidRPr="00017E1C">
                              <w:rPr>
                                <w:rFonts w:cs="Arial"/>
                                <w:sz w:val="16"/>
                                <w:szCs w:val="16"/>
                                <w:lang w:val="da"/>
                              </w:rPr>
                              <w:t xml:space="preserve"> ved indgåelse af aftale</w:t>
                            </w:r>
                            <w:r w:rsidRPr="00017E1C">
                              <w:rPr>
                                <w:rFonts w:cs="Arial"/>
                                <w:lang w:val="da"/>
                              </w:rPr>
                              <w:t xml:space="preserve"> </w:t>
                            </w:r>
                            <w:r w:rsidRPr="00017E1C">
                              <w:rPr>
                                <w:rFonts w:cs="Arial"/>
                                <w:sz w:val="16"/>
                                <w:szCs w:val="16"/>
                                <w:lang w:val="da"/>
                              </w:rPr>
                              <w:t xml:space="preserve">og derefter indeksværdien for den seneste prisregulering </w:t>
                            </w:r>
                            <w:r w:rsidR="00ED6D84">
                              <w:rPr>
                                <w:rFonts w:cs="Arial"/>
                                <w:sz w:val="16"/>
                                <w:szCs w:val="16"/>
                                <w:lang w:val="da"/>
                              </w:rPr>
                              <w:t>(dvs. den forhenværende A</w:t>
                            </w:r>
                            <w:r w:rsidR="00ED6D84">
                              <w:rPr>
                                <w:rFonts w:cs="Arial"/>
                                <w:sz w:val="16"/>
                                <w:szCs w:val="16"/>
                                <w:vertAlign w:val="subscript"/>
                                <w:lang w:val="da"/>
                              </w:rPr>
                              <w:t>1</w:t>
                            </w:r>
                            <w:r w:rsidR="00ED6D84">
                              <w:rPr>
                                <w:rFonts w:cs="Arial"/>
                                <w:sz w:val="16"/>
                                <w:szCs w:val="16"/>
                                <w:lang w:val="da"/>
                              </w:rPr>
                              <w:t>)</w:t>
                            </w:r>
                            <w:r w:rsidRPr="00017E1C">
                              <w:rPr>
                                <w:rFonts w:cs="Arial"/>
                                <w:sz w:val="16"/>
                                <w:szCs w:val="16"/>
                                <w:lang w:val="da"/>
                              </w:rPr>
                              <w:t xml:space="preserve"> </w:t>
                            </w:r>
                          </w:p>
                          <w:p w14:paraId="032B84A8" w14:textId="77777777" w:rsidR="00D44D6B" w:rsidRPr="00017E1C" w:rsidRDefault="00D44D6B" w:rsidP="00D44D6B">
                            <w:pPr>
                              <w:spacing w:line="360" w:lineRule="auto"/>
                              <w:rPr>
                                <w:rFonts w:cs="Arial"/>
                                <w:sz w:val="16"/>
                                <w:szCs w:val="16"/>
                              </w:rPr>
                            </w:pPr>
                            <w:r w:rsidRPr="00017E1C">
                              <w:rPr>
                                <w:rFonts w:cs="Arial"/>
                                <w:sz w:val="16"/>
                                <w:szCs w:val="16"/>
                                <w:lang w:val="da"/>
                              </w:rPr>
                              <w:t>b   = [</w:t>
                            </w:r>
                            <w:r w:rsidRPr="005E59E0">
                              <w:rPr>
                                <w:rFonts w:cs="Arial"/>
                                <w:sz w:val="16"/>
                                <w:szCs w:val="16"/>
                                <w:lang w:val="da"/>
                              </w:rPr>
                              <w:t>Den vægt, som udviklingen i materialepriserne (B) vælges at have</w:t>
                            </w:r>
                            <w:r w:rsidRPr="00017E1C">
                              <w:rPr>
                                <w:rFonts w:cs="Arial"/>
                                <w:sz w:val="16"/>
                                <w:szCs w:val="16"/>
                                <w:lang w:val="da"/>
                              </w:rPr>
                              <w:t>]</w:t>
                            </w:r>
                          </w:p>
                          <w:p w14:paraId="378CC599" w14:textId="2861456F" w:rsidR="00D44D6B" w:rsidRPr="004D2403" w:rsidRDefault="00D44D6B" w:rsidP="00D44D6B">
                            <w:pPr>
                              <w:spacing w:line="360" w:lineRule="auto"/>
                              <w:rPr>
                                <w:rFonts w:cs="Arial"/>
                                <w:sz w:val="16"/>
                                <w:szCs w:val="16"/>
                              </w:rPr>
                            </w:pPr>
                            <w:r w:rsidRPr="00017E1C">
                              <w:rPr>
                                <w:rFonts w:cs="Arial"/>
                                <w:sz w:val="16"/>
                                <w:szCs w:val="16"/>
                                <w:lang w:val="da"/>
                              </w:rPr>
                              <w:t>B</w:t>
                            </w:r>
                            <w:r w:rsidRPr="004D2403">
                              <w:rPr>
                                <w:rFonts w:cs="Arial"/>
                                <w:sz w:val="16"/>
                                <w:szCs w:val="16"/>
                                <w:vertAlign w:val="subscript"/>
                                <w:lang w:val="da"/>
                              </w:rPr>
                              <w:t xml:space="preserve">1 </w:t>
                            </w:r>
                            <w:r w:rsidRPr="004D2403">
                              <w:rPr>
                                <w:rFonts w:cs="Arial"/>
                                <w:sz w:val="16"/>
                                <w:szCs w:val="16"/>
                                <w:lang w:val="da"/>
                              </w:rPr>
                              <w:t xml:space="preserve">= Indeksværdien for </w:t>
                            </w:r>
                            <w:r w:rsidR="0058594C" w:rsidRPr="0058594C">
                              <w:rPr>
                                <w:rFonts w:cs="Arial"/>
                                <w:sz w:val="16"/>
                                <w:szCs w:val="16"/>
                                <w:lang w:val="da"/>
                              </w:rPr>
                              <w:t>Day-</w:t>
                            </w:r>
                            <w:proofErr w:type="spellStart"/>
                            <w:r w:rsidR="0058594C" w:rsidRPr="0058594C">
                              <w:rPr>
                                <w:rFonts w:cs="Arial"/>
                                <w:sz w:val="16"/>
                                <w:szCs w:val="16"/>
                                <w:lang w:val="da"/>
                              </w:rPr>
                              <w:t>ahead</w:t>
                            </w:r>
                            <w:proofErr w:type="spellEnd"/>
                            <w:r w:rsidR="0058594C" w:rsidRPr="0058594C">
                              <w:rPr>
                                <w:rFonts w:cs="Arial"/>
                                <w:sz w:val="16"/>
                                <w:szCs w:val="16"/>
                                <w:lang w:val="da"/>
                              </w:rPr>
                              <w:t xml:space="preserve"> </w:t>
                            </w:r>
                            <w:proofErr w:type="spellStart"/>
                            <w:r w:rsidR="0058594C" w:rsidRPr="0058594C">
                              <w:rPr>
                                <w:rFonts w:cs="Arial"/>
                                <w:sz w:val="16"/>
                                <w:szCs w:val="16"/>
                                <w:lang w:val="da"/>
                              </w:rPr>
                              <w:t>price</w:t>
                            </w:r>
                            <w:proofErr w:type="spellEnd"/>
                            <w:r w:rsidRPr="004D2403">
                              <w:rPr>
                                <w:rFonts w:cs="Arial"/>
                                <w:sz w:val="16"/>
                                <w:szCs w:val="16"/>
                                <w:lang w:val="da"/>
                              </w:rPr>
                              <w:t xml:space="preserve"> på tidspunktet for regulering </w:t>
                            </w:r>
                          </w:p>
                          <w:p w14:paraId="2E854AA3" w14:textId="79220145" w:rsidR="00D44D6B" w:rsidRPr="00017E1C" w:rsidRDefault="00D44D6B" w:rsidP="00D44D6B">
                            <w:pPr>
                              <w:spacing w:line="360" w:lineRule="auto"/>
                              <w:rPr>
                                <w:rFonts w:cs="Arial"/>
                                <w:sz w:val="16"/>
                                <w:szCs w:val="16"/>
                                <w:lang w:val="da"/>
                              </w:rPr>
                            </w:pPr>
                            <w:r w:rsidRPr="00017E1C">
                              <w:rPr>
                                <w:rFonts w:cs="Arial"/>
                                <w:sz w:val="16"/>
                                <w:szCs w:val="16"/>
                              </w:rPr>
                              <w:t>B</w:t>
                            </w:r>
                            <w:r w:rsidRPr="00017E1C">
                              <w:rPr>
                                <w:rFonts w:cs="Arial"/>
                                <w:sz w:val="16"/>
                                <w:szCs w:val="16"/>
                                <w:vertAlign w:val="subscript"/>
                                <w:lang w:val="da"/>
                              </w:rPr>
                              <w:t>0</w:t>
                            </w:r>
                            <w:r w:rsidRPr="00017E1C">
                              <w:rPr>
                                <w:rFonts w:cs="Arial"/>
                                <w:sz w:val="16"/>
                                <w:szCs w:val="16"/>
                                <w:lang w:val="da"/>
                              </w:rPr>
                              <w:t xml:space="preserve"> = Indeksværdien for </w:t>
                            </w:r>
                            <w:r w:rsidR="0058594C" w:rsidRPr="0058594C">
                              <w:rPr>
                                <w:rFonts w:cs="Arial"/>
                                <w:sz w:val="16"/>
                                <w:szCs w:val="16"/>
                                <w:lang w:val="da"/>
                              </w:rPr>
                              <w:t>Day-</w:t>
                            </w:r>
                            <w:proofErr w:type="spellStart"/>
                            <w:r w:rsidR="0058594C" w:rsidRPr="0058594C">
                              <w:rPr>
                                <w:rFonts w:cs="Arial"/>
                                <w:sz w:val="16"/>
                                <w:szCs w:val="16"/>
                                <w:lang w:val="da"/>
                              </w:rPr>
                              <w:t>ahead</w:t>
                            </w:r>
                            <w:proofErr w:type="spellEnd"/>
                            <w:r w:rsidR="0058594C" w:rsidRPr="0058594C">
                              <w:rPr>
                                <w:rFonts w:cs="Arial"/>
                                <w:sz w:val="16"/>
                                <w:szCs w:val="16"/>
                                <w:lang w:val="da"/>
                              </w:rPr>
                              <w:t xml:space="preserve"> </w:t>
                            </w:r>
                            <w:proofErr w:type="spellStart"/>
                            <w:r w:rsidR="0058594C" w:rsidRPr="0058594C">
                              <w:rPr>
                                <w:rFonts w:cs="Arial"/>
                                <w:sz w:val="16"/>
                                <w:szCs w:val="16"/>
                                <w:lang w:val="da"/>
                              </w:rPr>
                              <w:t>price</w:t>
                            </w:r>
                            <w:proofErr w:type="spellEnd"/>
                            <w:r w:rsidR="0058594C" w:rsidRPr="004D2403">
                              <w:rPr>
                                <w:rFonts w:cs="Arial"/>
                                <w:sz w:val="16"/>
                                <w:szCs w:val="16"/>
                                <w:lang w:val="da"/>
                              </w:rPr>
                              <w:t xml:space="preserve"> </w:t>
                            </w:r>
                            <w:r w:rsidRPr="00017E1C">
                              <w:rPr>
                                <w:rFonts w:cs="Arial"/>
                                <w:sz w:val="16"/>
                                <w:szCs w:val="16"/>
                                <w:lang w:val="da"/>
                              </w:rPr>
                              <w:t>ved Aftalens Ikrafttræden</w:t>
                            </w:r>
                            <w:r w:rsidRPr="00017E1C">
                              <w:rPr>
                                <w:rFonts w:cs="Arial"/>
                                <w:lang w:val="da"/>
                              </w:rPr>
                              <w:t xml:space="preserve"> </w:t>
                            </w:r>
                            <w:r w:rsidRPr="00017E1C">
                              <w:rPr>
                                <w:rFonts w:cs="Arial"/>
                                <w:sz w:val="16"/>
                                <w:szCs w:val="16"/>
                                <w:lang w:val="da"/>
                              </w:rPr>
                              <w:t>og derefter indeksværdien for den seneste prisregulering</w:t>
                            </w:r>
                            <w:r w:rsidR="00ED6D84">
                              <w:rPr>
                                <w:rFonts w:cs="Arial"/>
                                <w:sz w:val="16"/>
                                <w:szCs w:val="16"/>
                                <w:lang w:val="da"/>
                              </w:rPr>
                              <w:t xml:space="preserve"> (dvs. den forhenværende B</w:t>
                            </w:r>
                            <w:r w:rsidR="00ED6D84">
                              <w:rPr>
                                <w:rFonts w:cs="Arial"/>
                                <w:sz w:val="16"/>
                                <w:szCs w:val="16"/>
                                <w:vertAlign w:val="subscript"/>
                                <w:lang w:val="da"/>
                              </w:rPr>
                              <w:t>1</w:t>
                            </w:r>
                            <w:r w:rsidR="00ED6D84">
                              <w:rPr>
                                <w:rFonts w:cs="Arial"/>
                                <w:sz w:val="16"/>
                                <w:szCs w:val="16"/>
                                <w:lang w:val="da"/>
                              </w:rPr>
                              <w:t>)</w:t>
                            </w:r>
                            <w:r w:rsidRPr="00017E1C">
                              <w:rPr>
                                <w:rFonts w:cs="Arial"/>
                                <w:sz w:val="16"/>
                                <w:szCs w:val="16"/>
                                <w:lang w:val="da"/>
                              </w:rPr>
                              <w:t xml:space="preserve">  </w:t>
                            </w:r>
                          </w:p>
                          <w:p w14:paraId="4A88507C" w14:textId="77777777" w:rsidR="00D44D6B" w:rsidRPr="00504650" w:rsidRDefault="00D44D6B" w:rsidP="00D44D6B">
                            <w:pPr>
                              <w:tabs>
                                <w:tab w:val="left" w:pos="0"/>
                                <w:tab w:val="left" w:pos="284"/>
                              </w:tabs>
                              <w:spacing w:line="360" w:lineRule="auto"/>
                              <w:ind w:hanging="284"/>
                              <w:rPr>
                                <w:sz w:val="16"/>
                                <w:szCs w:val="16"/>
                              </w:rPr>
                            </w:pPr>
                          </w:p>
                          <w:p w14:paraId="6A848AA6" w14:textId="77777777" w:rsidR="00D44D6B" w:rsidRPr="00504650" w:rsidRDefault="00D44D6B" w:rsidP="00D44D6B">
                            <w:pPr>
                              <w:tabs>
                                <w:tab w:val="left" w:pos="0"/>
                                <w:tab w:val="left" w:pos="284"/>
                              </w:tabs>
                              <w:spacing w:line="360" w:lineRule="auto"/>
                              <w:ind w:hanging="284"/>
                              <w:rPr>
                                <w:sz w:val="16"/>
                                <w:szCs w:val="16"/>
                              </w:rPr>
                            </w:pPr>
                          </w:p>
                          <w:p w14:paraId="79C7E7D4" w14:textId="77777777" w:rsidR="00D44D6B" w:rsidRPr="00504650" w:rsidRDefault="00D44D6B" w:rsidP="00D44D6B">
                            <w:pPr>
                              <w:tabs>
                                <w:tab w:val="left" w:pos="0"/>
                                <w:tab w:val="left" w:pos="284"/>
                              </w:tabs>
                              <w:spacing w:line="360" w:lineRule="auto"/>
                              <w:ind w:hanging="284"/>
                              <w:rPr>
                                <w:sz w:val="16"/>
                                <w:szCs w:val="16"/>
                              </w:rPr>
                            </w:pPr>
                          </w:p>
                          <w:p w14:paraId="0515B4F1" w14:textId="77777777" w:rsidR="00D44D6B" w:rsidRPr="00504650" w:rsidRDefault="00D44D6B" w:rsidP="00D44D6B">
                            <w:pPr>
                              <w:tabs>
                                <w:tab w:val="left" w:pos="0"/>
                                <w:tab w:val="left" w:pos="284"/>
                              </w:tabs>
                              <w:spacing w:line="360" w:lineRule="auto"/>
                              <w:ind w:hanging="284"/>
                              <w:rPr>
                                <w:sz w:val="16"/>
                                <w:szCs w:val="16"/>
                              </w:rPr>
                            </w:pPr>
                          </w:p>
                          <w:p w14:paraId="2CCB3E05" w14:textId="77777777" w:rsidR="00D44D6B" w:rsidRPr="00504650" w:rsidRDefault="00D44D6B" w:rsidP="00D44D6B">
                            <w:pPr>
                              <w:tabs>
                                <w:tab w:val="left" w:pos="0"/>
                                <w:tab w:val="left" w:pos="284"/>
                              </w:tabs>
                              <w:spacing w:line="360" w:lineRule="auto"/>
                              <w:ind w:hanging="284"/>
                              <w:rPr>
                                <w:sz w:val="16"/>
                                <w:szCs w:val="16"/>
                              </w:rPr>
                            </w:pPr>
                          </w:p>
                          <w:p w14:paraId="0C170FB3" w14:textId="77777777" w:rsidR="00D44D6B" w:rsidRPr="00504650" w:rsidRDefault="00D44D6B" w:rsidP="00D44D6B">
                            <w:pPr>
                              <w:tabs>
                                <w:tab w:val="left" w:pos="0"/>
                                <w:tab w:val="left" w:pos="284"/>
                              </w:tabs>
                              <w:spacing w:line="360" w:lineRule="auto"/>
                              <w:ind w:hanging="284"/>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FC12D" id="_x0000_t202" coordsize="21600,21600" o:spt="202" path="m,l,21600r21600,l21600,xe">
                <v:stroke joinstyle="miter"/>
                <v:path gradientshapeok="t" o:connecttype="rect"/>
              </v:shapetype>
              <v:shape id="Text Box 8" o:spid="_x0000_s1026" type="#_x0000_t202" style="position:absolute;left:0;text-align:left;margin-left:101.05pt;margin-top:8.95pt;width:289pt;height:19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" strokecolor="#9bbb59" strokeweight="5pt">
                <v:stroke linestyle="thickThin"/>
                <v:shadow color="#868686"/>
                <v:textbox>
                  <w:txbxContent>
                    <w:p w14:paraId="31DA2CF6" w14:textId="383EC8E2" w:rsidR="00D44D6B" w:rsidRPr="00691A07" w:rsidRDefault="00E80DEB" w:rsidP="00D44D6B">
                      <w:pPr>
                        <w:spacing w:line="360" w:lineRule="auto"/>
                        <w:rPr>
                          <w:sz w:val="16"/>
                          <w:szCs w:val="16"/>
                        </w:rP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 xml:space="preserve"> a×</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0</m:t>
                                          </m:r>
                                        </m:sub>
                                      </m:sSub>
                                    </m:den>
                                  </m:f>
                                </m:e>
                              </m:d>
                              <m:r>
                                <w:rPr>
                                  <w:rFonts w:ascii="Cambria Math" w:hAnsi="Cambria Math"/>
                                </w:rPr>
                                <m:t>+b×</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1</m:t>
                                          </m:r>
                                        </m:sub>
                                      </m:sSub>
                                    </m:num>
                                    <m:den>
                                      <m:sSub>
                                        <m:sSubPr>
                                          <m:ctrlPr>
                                            <w:rPr>
                                              <w:rFonts w:ascii="Cambria Math" w:hAnsi="Cambria Math"/>
                                              <w:i/>
                                            </w:rPr>
                                          </m:ctrlPr>
                                        </m:sSubPr>
                                        <m:e>
                                          <m:r>
                                            <w:rPr>
                                              <w:rFonts w:ascii="Cambria Math" w:hAnsi="Cambria Math"/>
                                            </w:rPr>
                                            <m:t>B</m:t>
                                          </m:r>
                                        </m:e>
                                        <m:sub>
                                          <m:r>
                                            <w:rPr>
                                              <w:rFonts w:ascii="Cambria Math" w:hAnsi="Cambria Math"/>
                                            </w:rPr>
                                            <m:t>0</m:t>
                                          </m:r>
                                        </m:sub>
                                      </m:sSub>
                                    </m:den>
                                  </m:f>
                                </m:e>
                              </m:d>
                            </m:e>
                          </m:d>
                        </m:oMath>
                      </m:oMathPara>
                    </w:p>
                    <w:p w14:paraId="19FBA99E" w14:textId="77777777" w:rsidR="00D44D6B" w:rsidRPr="007C07E7" w:rsidRDefault="00D44D6B" w:rsidP="00D44D6B">
                      <w:pPr>
                        <w:spacing w:line="360" w:lineRule="auto"/>
                        <w:rPr>
                          <w:rFonts w:cs="Arial"/>
                          <w:sz w:val="16"/>
                          <w:szCs w:val="16"/>
                        </w:rPr>
                      </w:pPr>
                      <w:r>
                        <w:rPr>
                          <w:sz w:val="16"/>
                          <w:szCs w:val="16"/>
                          <w:lang w:val="da"/>
                        </w:rPr>
                        <w:t>P</w:t>
                      </w:r>
                      <w:r>
                        <w:rPr>
                          <w:sz w:val="16"/>
                          <w:szCs w:val="16"/>
                          <w:vertAlign w:val="subscript"/>
                          <w:lang w:val="da"/>
                        </w:rPr>
                        <w:t>1</w:t>
                      </w:r>
                      <w:r>
                        <w:rPr>
                          <w:sz w:val="16"/>
                          <w:szCs w:val="16"/>
                          <w:lang w:val="da"/>
                        </w:rPr>
                        <w:t xml:space="preserve"> = </w:t>
                      </w:r>
                      <w:r w:rsidRPr="007C07E7">
                        <w:rPr>
                          <w:rFonts w:cs="Arial"/>
                          <w:sz w:val="16"/>
                          <w:szCs w:val="16"/>
                          <w:lang w:val="da"/>
                        </w:rPr>
                        <w:t>Den regulerede pris</w:t>
                      </w:r>
                    </w:p>
                    <w:p w14:paraId="66A6DA7A" w14:textId="77777777" w:rsidR="00D44D6B" w:rsidRPr="007C07E7" w:rsidRDefault="00D44D6B" w:rsidP="00D44D6B">
                      <w:pPr>
                        <w:spacing w:line="360" w:lineRule="auto"/>
                        <w:rPr>
                          <w:rFonts w:cs="Arial"/>
                          <w:sz w:val="16"/>
                          <w:szCs w:val="16"/>
                          <w:lang w:val="da"/>
                        </w:rPr>
                      </w:pPr>
                      <w:r w:rsidRPr="007C07E7">
                        <w:rPr>
                          <w:rFonts w:cs="Arial"/>
                          <w:sz w:val="16"/>
                          <w:szCs w:val="16"/>
                          <w:lang w:val="da"/>
                        </w:rPr>
                        <w:t>P</w:t>
                      </w:r>
                      <w:r w:rsidRPr="007C07E7">
                        <w:rPr>
                          <w:rFonts w:cs="Arial"/>
                          <w:sz w:val="16"/>
                          <w:szCs w:val="16"/>
                          <w:vertAlign w:val="subscript"/>
                          <w:lang w:val="da"/>
                        </w:rPr>
                        <w:t>0</w:t>
                      </w:r>
                      <w:r w:rsidRPr="007C07E7">
                        <w:rPr>
                          <w:rFonts w:cs="Arial"/>
                          <w:sz w:val="16"/>
                          <w:szCs w:val="16"/>
                          <w:lang w:val="da"/>
                        </w:rPr>
                        <w:t xml:space="preserve"> = Den pris, der skal reguleres</w:t>
                      </w:r>
                    </w:p>
                    <w:p w14:paraId="06A009AF" w14:textId="77777777" w:rsidR="00D44D6B" w:rsidRPr="00017E1C" w:rsidRDefault="00D44D6B" w:rsidP="00D44D6B">
                      <w:pPr>
                        <w:spacing w:line="360" w:lineRule="auto"/>
                        <w:rPr>
                          <w:rFonts w:cs="Arial"/>
                          <w:sz w:val="16"/>
                          <w:szCs w:val="16"/>
                        </w:rPr>
                      </w:pPr>
                      <w:r w:rsidRPr="00017E1C">
                        <w:rPr>
                          <w:rFonts w:cs="Arial"/>
                          <w:sz w:val="16"/>
                          <w:szCs w:val="16"/>
                          <w:lang w:val="da"/>
                        </w:rPr>
                        <w:t>a   = [</w:t>
                      </w:r>
                      <w:r w:rsidRPr="005E59E0">
                        <w:rPr>
                          <w:rFonts w:cs="Arial"/>
                          <w:sz w:val="16"/>
                          <w:szCs w:val="16"/>
                          <w:lang w:val="da"/>
                        </w:rPr>
                        <w:t>Den vægt, som udviklingen i materialepriserne (A) vælges at have</w:t>
                      </w:r>
                      <w:r w:rsidRPr="00017E1C">
                        <w:rPr>
                          <w:rFonts w:cs="Arial"/>
                          <w:sz w:val="16"/>
                          <w:szCs w:val="16"/>
                          <w:lang w:val="da"/>
                        </w:rPr>
                        <w:t xml:space="preserve">] </w:t>
                      </w:r>
                    </w:p>
                    <w:p w14:paraId="44A040BC" w14:textId="2810CBA7" w:rsidR="00D44D6B" w:rsidRPr="004D2403" w:rsidRDefault="00D44D6B" w:rsidP="00D44D6B">
                      <w:pPr>
                        <w:spacing w:line="360" w:lineRule="auto"/>
                        <w:rPr>
                          <w:rFonts w:cs="Arial"/>
                          <w:sz w:val="16"/>
                          <w:szCs w:val="16"/>
                        </w:rPr>
                      </w:pPr>
                      <w:r w:rsidRPr="00017E1C">
                        <w:rPr>
                          <w:rFonts w:cs="Arial"/>
                          <w:sz w:val="16"/>
                          <w:szCs w:val="16"/>
                          <w:lang w:val="da"/>
                        </w:rPr>
                        <w:t>A</w:t>
                      </w:r>
                      <w:r w:rsidRPr="004D2403">
                        <w:rPr>
                          <w:rFonts w:cs="Arial"/>
                          <w:sz w:val="16"/>
                          <w:szCs w:val="16"/>
                          <w:vertAlign w:val="subscript"/>
                          <w:lang w:val="da"/>
                        </w:rPr>
                        <w:t xml:space="preserve">1 </w:t>
                      </w:r>
                      <w:r w:rsidRPr="004D2403">
                        <w:rPr>
                          <w:rFonts w:cs="Arial"/>
                          <w:sz w:val="16"/>
                          <w:szCs w:val="16"/>
                          <w:lang w:val="da"/>
                        </w:rPr>
                        <w:t xml:space="preserve">= Indeksværdien for </w:t>
                      </w:r>
                      <w:r w:rsidR="0058594C">
                        <w:rPr>
                          <w:rFonts w:cs="Arial"/>
                          <w:sz w:val="16"/>
                          <w:szCs w:val="16"/>
                          <w:lang w:val="da"/>
                        </w:rPr>
                        <w:t>N</w:t>
                      </w:r>
                      <w:r w:rsidR="0058594C">
                        <w:rPr>
                          <w:rFonts w:cs="Arial"/>
                          <w:sz w:val="16"/>
                          <w:szCs w:val="16"/>
                          <w:lang w:val="da"/>
                        </w:rPr>
                        <w:t>ettoprisindeks</w:t>
                      </w:r>
                      <w:r w:rsidR="0058594C" w:rsidRPr="004D2403">
                        <w:rPr>
                          <w:rFonts w:cs="Arial"/>
                          <w:sz w:val="16"/>
                          <w:szCs w:val="16"/>
                          <w:lang w:val="da"/>
                        </w:rPr>
                        <w:t xml:space="preserve"> </w:t>
                      </w:r>
                      <w:r w:rsidRPr="004D2403">
                        <w:rPr>
                          <w:rFonts w:cs="Arial"/>
                          <w:sz w:val="16"/>
                          <w:szCs w:val="16"/>
                          <w:lang w:val="da"/>
                        </w:rPr>
                        <w:t xml:space="preserve">på tidspunktet for regulering </w:t>
                      </w:r>
                    </w:p>
                    <w:p w14:paraId="52E0550C" w14:textId="6282BD92" w:rsidR="00D44D6B" w:rsidRPr="00017E1C" w:rsidRDefault="00D44D6B" w:rsidP="00D44D6B">
                      <w:pPr>
                        <w:spacing w:line="360" w:lineRule="auto"/>
                        <w:rPr>
                          <w:rFonts w:cs="Arial"/>
                          <w:sz w:val="16"/>
                          <w:szCs w:val="16"/>
                        </w:rPr>
                      </w:pPr>
                      <w:r w:rsidRPr="00017E1C">
                        <w:rPr>
                          <w:rFonts w:cs="Arial"/>
                          <w:sz w:val="16"/>
                          <w:szCs w:val="16"/>
                        </w:rPr>
                        <w:t>A</w:t>
                      </w:r>
                      <w:r w:rsidRPr="00017E1C">
                        <w:rPr>
                          <w:rFonts w:cs="Arial"/>
                          <w:sz w:val="16"/>
                          <w:szCs w:val="16"/>
                          <w:vertAlign w:val="subscript"/>
                          <w:lang w:val="da"/>
                        </w:rPr>
                        <w:t xml:space="preserve">0 </w:t>
                      </w:r>
                      <w:r w:rsidR="0058594C">
                        <w:rPr>
                          <w:rFonts w:cs="Arial"/>
                          <w:sz w:val="16"/>
                          <w:szCs w:val="16"/>
                          <w:lang w:val="da"/>
                        </w:rPr>
                        <w:t xml:space="preserve">= Indeksværdien for </w:t>
                      </w:r>
                      <w:r w:rsidR="0058594C">
                        <w:rPr>
                          <w:rFonts w:cs="Arial"/>
                          <w:sz w:val="16"/>
                          <w:szCs w:val="16"/>
                          <w:lang w:val="da"/>
                        </w:rPr>
                        <w:t>N</w:t>
                      </w:r>
                      <w:r w:rsidR="0058594C">
                        <w:rPr>
                          <w:rFonts w:cs="Arial"/>
                          <w:sz w:val="16"/>
                          <w:szCs w:val="16"/>
                          <w:lang w:val="da"/>
                        </w:rPr>
                        <w:t>ettoprisindeks</w:t>
                      </w:r>
                      <w:r w:rsidRPr="00017E1C">
                        <w:rPr>
                          <w:rFonts w:cs="Arial"/>
                          <w:sz w:val="16"/>
                          <w:szCs w:val="16"/>
                          <w:lang w:val="da"/>
                        </w:rPr>
                        <w:t xml:space="preserve"> ved indgåelse af aftale</w:t>
                      </w:r>
                      <w:r w:rsidRPr="00017E1C">
                        <w:rPr>
                          <w:rFonts w:cs="Arial"/>
                          <w:lang w:val="da"/>
                        </w:rPr>
                        <w:t xml:space="preserve"> </w:t>
                      </w:r>
                      <w:r w:rsidRPr="00017E1C">
                        <w:rPr>
                          <w:rFonts w:cs="Arial"/>
                          <w:sz w:val="16"/>
                          <w:szCs w:val="16"/>
                          <w:lang w:val="da"/>
                        </w:rPr>
                        <w:t xml:space="preserve">og derefter indeksværdien for den seneste prisregulering </w:t>
                      </w:r>
                      <w:r w:rsidR="00ED6D84">
                        <w:rPr>
                          <w:rFonts w:cs="Arial"/>
                          <w:sz w:val="16"/>
                          <w:szCs w:val="16"/>
                          <w:lang w:val="da"/>
                        </w:rPr>
                        <w:t>(dvs. den forhenværende A</w:t>
                      </w:r>
                      <w:r w:rsidR="00ED6D84">
                        <w:rPr>
                          <w:rFonts w:cs="Arial"/>
                          <w:sz w:val="16"/>
                          <w:szCs w:val="16"/>
                          <w:vertAlign w:val="subscript"/>
                          <w:lang w:val="da"/>
                        </w:rPr>
                        <w:t>1</w:t>
                      </w:r>
                      <w:r w:rsidR="00ED6D84">
                        <w:rPr>
                          <w:rFonts w:cs="Arial"/>
                          <w:sz w:val="16"/>
                          <w:szCs w:val="16"/>
                          <w:lang w:val="da"/>
                        </w:rPr>
                        <w:t>)</w:t>
                      </w:r>
                      <w:r w:rsidRPr="00017E1C">
                        <w:rPr>
                          <w:rFonts w:cs="Arial"/>
                          <w:sz w:val="16"/>
                          <w:szCs w:val="16"/>
                          <w:lang w:val="da"/>
                        </w:rPr>
                        <w:t xml:space="preserve"> </w:t>
                      </w:r>
                    </w:p>
                    <w:p w14:paraId="032B84A8" w14:textId="77777777" w:rsidR="00D44D6B" w:rsidRPr="00017E1C" w:rsidRDefault="00D44D6B" w:rsidP="00D44D6B">
                      <w:pPr>
                        <w:spacing w:line="360" w:lineRule="auto"/>
                        <w:rPr>
                          <w:rFonts w:cs="Arial"/>
                          <w:sz w:val="16"/>
                          <w:szCs w:val="16"/>
                        </w:rPr>
                      </w:pPr>
                      <w:r w:rsidRPr="00017E1C">
                        <w:rPr>
                          <w:rFonts w:cs="Arial"/>
                          <w:sz w:val="16"/>
                          <w:szCs w:val="16"/>
                          <w:lang w:val="da"/>
                        </w:rPr>
                        <w:t>b   = [</w:t>
                      </w:r>
                      <w:r w:rsidRPr="005E59E0">
                        <w:rPr>
                          <w:rFonts w:cs="Arial"/>
                          <w:sz w:val="16"/>
                          <w:szCs w:val="16"/>
                          <w:lang w:val="da"/>
                        </w:rPr>
                        <w:t>Den vægt, som udviklingen i materialepriserne (B) vælges at have</w:t>
                      </w:r>
                      <w:r w:rsidRPr="00017E1C">
                        <w:rPr>
                          <w:rFonts w:cs="Arial"/>
                          <w:sz w:val="16"/>
                          <w:szCs w:val="16"/>
                          <w:lang w:val="da"/>
                        </w:rPr>
                        <w:t>]</w:t>
                      </w:r>
                    </w:p>
                    <w:p w14:paraId="378CC599" w14:textId="2861456F" w:rsidR="00D44D6B" w:rsidRPr="004D2403" w:rsidRDefault="00D44D6B" w:rsidP="00D44D6B">
                      <w:pPr>
                        <w:spacing w:line="360" w:lineRule="auto"/>
                        <w:rPr>
                          <w:rFonts w:cs="Arial"/>
                          <w:sz w:val="16"/>
                          <w:szCs w:val="16"/>
                        </w:rPr>
                      </w:pPr>
                      <w:r w:rsidRPr="00017E1C">
                        <w:rPr>
                          <w:rFonts w:cs="Arial"/>
                          <w:sz w:val="16"/>
                          <w:szCs w:val="16"/>
                          <w:lang w:val="da"/>
                        </w:rPr>
                        <w:t>B</w:t>
                      </w:r>
                      <w:r w:rsidRPr="004D2403">
                        <w:rPr>
                          <w:rFonts w:cs="Arial"/>
                          <w:sz w:val="16"/>
                          <w:szCs w:val="16"/>
                          <w:vertAlign w:val="subscript"/>
                          <w:lang w:val="da"/>
                        </w:rPr>
                        <w:t xml:space="preserve">1 </w:t>
                      </w:r>
                      <w:r w:rsidRPr="004D2403">
                        <w:rPr>
                          <w:rFonts w:cs="Arial"/>
                          <w:sz w:val="16"/>
                          <w:szCs w:val="16"/>
                          <w:lang w:val="da"/>
                        </w:rPr>
                        <w:t xml:space="preserve">= Indeksværdien for </w:t>
                      </w:r>
                      <w:r w:rsidR="0058594C" w:rsidRPr="0058594C">
                        <w:rPr>
                          <w:rFonts w:cs="Arial"/>
                          <w:sz w:val="16"/>
                          <w:szCs w:val="16"/>
                          <w:lang w:val="da"/>
                        </w:rPr>
                        <w:t>Day-ahead price</w:t>
                      </w:r>
                      <w:r w:rsidRPr="004D2403">
                        <w:rPr>
                          <w:rFonts w:cs="Arial"/>
                          <w:sz w:val="16"/>
                          <w:szCs w:val="16"/>
                          <w:lang w:val="da"/>
                        </w:rPr>
                        <w:t xml:space="preserve"> på tidspunktet for regulering </w:t>
                      </w:r>
                    </w:p>
                    <w:p w14:paraId="2E854AA3" w14:textId="79220145" w:rsidR="00D44D6B" w:rsidRPr="00017E1C" w:rsidRDefault="00D44D6B" w:rsidP="00D44D6B">
                      <w:pPr>
                        <w:spacing w:line="360" w:lineRule="auto"/>
                        <w:rPr>
                          <w:rFonts w:cs="Arial"/>
                          <w:sz w:val="16"/>
                          <w:szCs w:val="16"/>
                          <w:lang w:val="da"/>
                        </w:rPr>
                      </w:pPr>
                      <w:r w:rsidRPr="00017E1C">
                        <w:rPr>
                          <w:rFonts w:cs="Arial"/>
                          <w:sz w:val="16"/>
                          <w:szCs w:val="16"/>
                        </w:rPr>
                        <w:t>B</w:t>
                      </w:r>
                      <w:r w:rsidRPr="00017E1C">
                        <w:rPr>
                          <w:rFonts w:cs="Arial"/>
                          <w:sz w:val="16"/>
                          <w:szCs w:val="16"/>
                          <w:vertAlign w:val="subscript"/>
                          <w:lang w:val="da"/>
                        </w:rPr>
                        <w:t>0</w:t>
                      </w:r>
                      <w:r w:rsidRPr="00017E1C">
                        <w:rPr>
                          <w:rFonts w:cs="Arial"/>
                          <w:sz w:val="16"/>
                          <w:szCs w:val="16"/>
                          <w:lang w:val="da"/>
                        </w:rPr>
                        <w:t xml:space="preserve"> = Indeksværdien for </w:t>
                      </w:r>
                      <w:r w:rsidR="0058594C" w:rsidRPr="0058594C">
                        <w:rPr>
                          <w:rFonts w:cs="Arial"/>
                          <w:sz w:val="16"/>
                          <w:szCs w:val="16"/>
                          <w:lang w:val="da"/>
                        </w:rPr>
                        <w:t>Day-ahead price</w:t>
                      </w:r>
                      <w:r w:rsidR="0058594C" w:rsidRPr="004D2403">
                        <w:rPr>
                          <w:rFonts w:cs="Arial"/>
                          <w:sz w:val="16"/>
                          <w:szCs w:val="16"/>
                          <w:lang w:val="da"/>
                        </w:rPr>
                        <w:t xml:space="preserve"> </w:t>
                      </w:r>
                      <w:r w:rsidRPr="00017E1C">
                        <w:rPr>
                          <w:rFonts w:cs="Arial"/>
                          <w:sz w:val="16"/>
                          <w:szCs w:val="16"/>
                          <w:lang w:val="da"/>
                        </w:rPr>
                        <w:t>ved Aftalens Ikrafttræden</w:t>
                      </w:r>
                      <w:r w:rsidRPr="00017E1C">
                        <w:rPr>
                          <w:rFonts w:cs="Arial"/>
                          <w:lang w:val="da"/>
                        </w:rPr>
                        <w:t xml:space="preserve"> </w:t>
                      </w:r>
                      <w:r w:rsidRPr="00017E1C">
                        <w:rPr>
                          <w:rFonts w:cs="Arial"/>
                          <w:sz w:val="16"/>
                          <w:szCs w:val="16"/>
                          <w:lang w:val="da"/>
                        </w:rPr>
                        <w:t>og derefter indeksværdien for den seneste prisregulering</w:t>
                      </w:r>
                      <w:r w:rsidR="00ED6D84">
                        <w:rPr>
                          <w:rFonts w:cs="Arial"/>
                          <w:sz w:val="16"/>
                          <w:szCs w:val="16"/>
                          <w:lang w:val="da"/>
                        </w:rPr>
                        <w:t xml:space="preserve"> (dvs. den forhenværende B</w:t>
                      </w:r>
                      <w:r w:rsidR="00ED6D84">
                        <w:rPr>
                          <w:rFonts w:cs="Arial"/>
                          <w:sz w:val="16"/>
                          <w:szCs w:val="16"/>
                          <w:vertAlign w:val="subscript"/>
                          <w:lang w:val="da"/>
                        </w:rPr>
                        <w:t>1</w:t>
                      </w:r>
                      <w:r w:rsidR="00ED6D84">
                        <w:rPr>
                          <w:rFonts w:cs="Arial"/>
                          <w:sz w:val="16"/>
                          <w:szCs w:val="16"/>
                          <w:lang w:val="da"/>
                        </w:rPr>
                        <w:t>)</w:t>
                      </w:r>
                      <w:r w:rsidRPr="00017E1C">
                        <w:rPr>
                          <w:rFonts w:cs="Arial"/>
                          <w:sz w:val="16"/>
                          <w:szCs w:val="16"/>
                          <w:lang w:val="da"/>
                        </w:rPr>
                        <w:t xml:space="preserve">  </w:t>
                      </w:r>
                    </w:p>
                    <w:p w14:paraId="4A88507C" w14:textId="77777777" w:rsidR="00D44D6B" w:rsidRPr="00504650" w:rsidRDefault="00D44D6B" w:rsidP="00D44D6B">
                      <w:pPr>
                        <w:tabs>
                          <w:tab w:val="left" w:pos="0"/>
                          <w:tab w:val="left" w:pos="284"/>
                        </w:tabs>
                        <w:spacing w:line="360" w:lineRule="auto"/>
                        <w:ind w:hanging="284"/>
                        <w:rPr>
                          <w:sz w:val="16"/>
                          <w:szCs w:val="16"/>
                        </w:rPr>
                      </w:pPr>
                    </w:p>
                    <w:p w14:paraId="6A848AA6" w14:textId="77777777" w:rsidR="00D44D6B" w:rsidRPr="00504650" w:rsidRDefault="00D44D6B" w:rsidP="00D44D6B">
                      <w:pPr>
                        <w:tabs>
                          <w:tab w:val="left" w:pos="0"/>
                          <w:tab w:val="left" w:pos="284"/>
                        </w:tabs>
                        <w:spacing w:line="360" w:lineRule="auto"/>
                        <w:ind w:hanging="284"/>
                        <w:rPr>
                          <w:sz w:val="16"/>
                          <w:szCs w:val="16"/>
                        </w:rPr>
                      </w:pPr>
                    </w:p>
                    <w:p w14:paraId="79C7E7D4" w14:textId="77777777" w:rsidR="00D44D6B" w:rsidRPr="00504650" w:rsidRDefault="00D44D6B" w:rsidP="00D44D6B">
                      <w:pPr>
                        <w:tabs>
                          <w:tab w:val="left" w:pos="0"/>
                          <w:tab w:val="left" w:pos="284"/>
                        </w:tabs>
                        <w:spacing w:line="360" w:lineRule="auto"/>
                        <w:ind w:hanging="284"/>
                        <w:rPr>
                          <w:sz w:val="16"/>
                          <w:szCs w:val="16"/>
                        </w:rPr>
                      </w:pPr>
                    </w:p>
                    <w:p w14:paraId="0515B4F1" w14:textId="77777777" w:rsidR="00D44D6B" w:rsidRPr="00504650" w:rsidRDefault="00D44D6B" w:rsidP="00D44D6B">
                      <w:pPr>
                        <w:tabs>
                          <w:tab w:val="left" w:pos="0"/>
                          <w:tab w:val="left" w:pos="284"/>
                        </w:tabs>
                        <w:spacing w:line="360" w:lineRule="auto"/>
                        <w:ind w:hanging="284"/>
                        <w:rPr>
                          <w:sz w:val="16"/>
                          <w:szCs w:val="16"/>
                        </w:rPr>
                      </w:pPr>
                    </w:p>
                    <w:p w14:paraId="2CCB3E05" w14:textId="77777777" w:rsidR="00D44D6B" w:rsidRPr="00504650" w:rsidRDefault="00D44D6B" w:rsidP="00D44D6B">
                      <w:pPr>
                        <w:tabs>
                          <w:tab w:val="left" w:pos="0"/>
                          <w:tab w:val="left" w:pos="284"/>
                        </w:tabs>
                        <w:spacing w:line="360" w:lineRule="auto"/>
                        <w:ind w:hanging="284"/>
                        <w:rPr>
                          <w:sz w:val="16"/>
                          <w:szCs w:val="16"/>
                        </w:rPr>
                      </w:pPr>
                    </w:p>
                    <w:p w14:paraId="0C170FB3" w14:textId="77777777" w:rsidR="00D44D6B" w:rsidRPr="00504650" w:rsidRDefault="00D44D6B" w:rsidP="00D44D6B">
                      <w:pPr>
                        <w:tabs>
                          <w:tab w:val="left" w:pos="0"/>
                          <w:tab w:val="left" w:pos="284"/>
                        </w:tabs>
                        <w:spacing w:line="360" w:lineRule="auto"/>
                        <w:ind w:hanging="284"/>
                        <w:rPr>
                          <w:sz w:val="16"/>
                          <w:szCs w:val="16"/>
                        </w:rPr>
                      </w:pPr>
                    </w:p>
                  </w:txbxContent>
                </v:textbox>
              </v:shape>
            </w:pict>
          </mc:Fallback>
        </mc:AlternateContent>
      </w:r>
      <w:r w:rsidR="00173F3C">
        <w:rPr>
          <w:rFonts w:ascii="Tahoma" w:hAnsi="Tahoma" w:cs="Tahoma"/>
        </w:rPr>
        <w:br w:type="page"/>
      </w:r>
    </w:p>
    <w:p w14:paraId="10E62383" w14:textId="77777777" w:rsidR="00D44D6B" w:rsidRPr="00821A09" w:rsidRDefault="00D44D6B" w:rsidP="00D44D6B">
      <w:pPr>
        <w:tabs>
          <w:tab w:val="left" w:pos="7035"/>
        </w:tabs>
        <w:spacing w:line="360" w:lineRule="auto"/>
        <w:jc w:val="both"/>
        <w:rPr>
          <w:rFonts w:ascii="Tahoma" w:hAnsi="Tahoma" w:cs="Tahoma"/>
        </w:rPr>
      </w:pPr>
    </w:p>
    <w:p w14:paraId="67ED241E" w14:textId="77777777" w:rsidR="00ED6D84" w:rsidRDefault="00ED6D84" w:rsidP="00173F3C">
      <w:pPr>
        <w:pStyle w:val="Heading2"/>
        <w:spacing w:after="0" w:line="360" w:lineRule="auto"/>
        <w:jc w:val="both"/>
        <w:rPr>
          <w:rFonts w:ascii="Tahoma" w:hAnsi="Tahoma" w:cs="Tahoma"/>
          <w:bCs/>
          <w:sz w:val="20"/>
          <w:szCs w:val="20"/>
          <w:u w:val="none"/>
          <w:lang w:val="da"/>
        </w:rPr>
      </w:pPr>
      <w:bookmarkStart w:id="7" w:name="_Toc101833040"/>
      <w:r>
        <w:rPr>
          <w:rFonts w:ascii="Tahoma" w:hAnsi="Tahoma" w:cs="Tahoma"/>
          <w:bCs/>
          <w:sz w:val="20"/>
          <w:szCs w:val="20"/>
          <w:u w:val="none"/>
          <w:lang w:val="da"/>
        </w:rPr>
        <w:t>Eksempel på prisreguleringsdatoer</w:t>
      </w:r>
      <w:bookmarkEnd w:id="7"/>
    </w:p>
    <w:tbl>
      <w:tblPr>
        <w:tblStyle w:val="TableGrid"/>
        <w:tblW w:w="9498" w:type="dxa"/>
        <w:tblInd w:w="108" w:type="dxa"/>
        <w:tblLook w:val="04A0" w:firstRow="1" w:lastRow="0" w:firstColumn="1" w:lastColumn="0" w:noHBand="0" w:noVBand="1"/>
      </w:tblPr>
      <w:tblGrid>
        <w:gridCol w:w="7797"/>
        <w:gridCol w:w="1701"/>
      </w:tblGrid>
      <w:tr w:rsidR="00ED6D84" w14:paraId="4B040D06" w14:textId="77777777" w:rsidTr="00173F3C">
        <w:tc>
          <w:tcPr>
            <w:tcW w:w="7797" w:type="dxa"/>
          </w:tcPr>
          <w:p w14:paraId="0F8F7056" w14:textId="77777777" w:rsidR="00ED6D84" w:rsidRDefault="00ED6D84" w:rsidP="005E59E0">
            <w:pPr>
              <w:spacing w:line="360" w:lineRule="auto"/>
              <w:jc w:val="both"/>
              <w:rPr>
                <w:rFonts w:ascii="Tahoma" w:hAnsi="Tahoma" w:cs="Tahoma"/>
                <w:lang w:val="da"/>
              </w:rPr>
            </w:pPr>
            <w:r w:rsidRPr="00173F3C">
              <w:rPr>
                <w:rFonts w:ascii="Tahoma" w:hAnsi="Tahoma" w:cs="Tahoma"/>
                <w:lang w:val="da"/>
              </w:rPr>
              <w:t>Ikrafttrædelse af Aftalen</w:t>
            </w:r>
          </w:p>
          <w:p w14:paraId="0CD55A21" w14:textId="6B325A51" w:rsidR="00A6749E" w:rsidRPr="00A6749E" w:rsidRDefault="00A6749E" w:rsidP="00853093">
            <w:pPr>
              <w:spacing w:line="360" w:lineRule="auto"/>
              <w:jc w:val="both"/>
              <w:rPr>
                <w:rFonts w:ascii="Tahoma" w:hAnsi="Tahoma" w:cs="Tahoma"/>
                <w:i/>
                <w:lang w:val="da"/>
              </w:rPr>
            </w:pPr>
            <w:r w:rsidRPr="00A6749E">
              <w:rPr>
                <w:rFonts w:ascii="Tahoma" w:hAnsi="Tahoma" w:cs="Tahoma"/>
                <w:i/>
                <w:lang w:val="da"/>
              </w:rPr>
              <w:t xml:space="preserve">Gennemsnit for indeksværdierne for månederne </w:t>
            </w:r>
            <w:r w:rsidR="00853093">
              <w:rPr>
                <w:rFonts w:ascii="Tahoma" w:hAnsi="Tahoma" w:cs="Tahoma"/>
                <w:i/>
                <w:lang w:val="da"/>
              </w:rPr>
              <w:t xml:space="preserve">marts til august </w:t>
            </w:r>
            <w:r w:rsidRPr="00A6749E">
              <w:rPr>
                <w:rFonts w:ascii="Tahoma" w:hAnsi="Tahoma" w:cs="Tahoma"/>
                <w:i/>
                <w:lang w:val="da"/>
              </w:rPr>
              <w:t>2022 ligger til grund for A</w:t>
            </w:r>
            <w:r w:rsidRPr="00A6749E">
              <w:rPr>
                <w:rFonts w:ascii="Tahoma" w:hAnsi="Tahoma" w:cs="Tahoma"/>
                <w:i/>
                <w:vertAlign w:val="subscript"/>
                <w:lang w:val="da"/>
              </w:rPr>
              <w:t>0</w:t>
            </w:r>
            <w:r w:rsidR="00853093">
              <w:rPr>
                <w:rFonts w:ascii="Tahoma" w:hAnsi="Tahoma" w:cs="Tahoma"/>
                <w:i/>
                <w:lang w:val="da"/>
              </w:rPr>
              <w:t xml:space="preserve"> og </w:t>
            </w:r>
            <w:r w:rsidRPr="00A6749E">
              <w:rPr>
                <w:rFonts w:ascii="Tahoma" w:hAnsi="Tahoma" w:cs="Tahoma"/>
                <w:i/>
                <w:lang w:val="da"/>
              </w:rPr>
              <w:t xml:space="preserve"> B</w:t>
            </w:r>
            <w:r w:rsidRPr="00A6749E">
              <w:rPr>
                <w:rFonts w:ascii="Tahoma" w:hAnsi="Tahoma" w:cs="Tahoma"/>
                <w:i/>
                <w:vertAlign w:val="subscript"/>
                <w:lang w:val="da"/>
              </w:rPr>
              <w:t>0</w:t>
            </w:r>
            <w:r w:rsidRPr="00A6749E">
              <w:rPr>
                <w:rFonts w:ascii="Tahoma" w:hAnsi="Tahoma" w:cs="Tahoma"/>
                <w:i/>
                <w:lang w:val="da"/>
              </w:rPr>
              <w:t xml:space="preserve">. </w:t>
            </w:r>
          </w:p>
        </w:tc>
        <w:tc>
          <w:tcPr>
            <w:tcW w:w="1701" w:type="dxa"/>
          </w:tcPr>
          <w:p w14:paraId="6FEF5105" w14:textId="05BFD901" w:rsidR="00ED6D84" w:rsidRPr="00173F3C" w:rsidRDefault="00850476" w:rsidP="00A4708A">
            <w:pPr>
              <w:pStyle w:val="ListParagraph"/>
              <w:spacing w:line="360" w:lineRule="auto"/>
              <w:ind w:left="0"/>
              <w:rPr>
                <w:rFonts w:ascii="Tahoma" w:hAnsi="Tahoma" w:cs="Tahoma"/>
                <w:lang w:val="da"/>
              </w:rPr>
            </w:pPr>
            <w:r w:rsidRPr="00173F3C">
              <w:rPr>
                <w:rFonts w:ascii="Tahoma" w:hAnsi="Tahoma" w:cs="Tahoma"/>
                <w:lang w:val="da"/>
              </w:rPr>
              <w:t xml:space="preserve">1. </w:t>
            </w:r>
            <w:r w:rsidR="00853093">
              <w:rPr>
                <w:rFonts w:ascii="Tahoma" w:hAnsi="Tahoma" w:cs="Tahoma"/>
                <w:lang w:val="da"/>
              </w:rPr>
              <w:t>September</w:t>
            </w:r>
            <w:r w:rsidR="00ED6D84" w:rsidRPr="00173F3C">
              <w:rPr>
                <w:rFonts w:ascii="Tahoma" w:hAnsi="Tahoma" w:cs="Tahoma"/>
                <w:lang w:val="da"/>
              </w:rPr>
              <w:t xml:space="preserve"> 2022</w:t>
            </w:r>
          </w:p>
        </w:tc>
      </w:tr>
      <w:tr w:rsidR="00ED6D84" w14:paraId="19B897F6" w14:textId="77777777" w:rsidTr="00173F3C">
        <w:tc>
          <w:tcPr>
            <w:tcW w:w="7797" w:type="dxa"/>
          </w:tcPr>
          <w:p w14:paraId="757481B5" w14:textId="2BF4AD58" w:rsidR="00ED6D84" w:rsidRDefault="00ED6D84" w:rsidP="00850476">
            <w:pPr>
              <w:spacing w:line="360" w:lineRule="auto"/>
              <w:jc w:val="both"/>
              <w:rPr>
                <w:rFonts w:ascii="Tahoma" w:hAnsi="Tahoma" w:cs="Tahoma"/>
                <w:lang w:val="da"/>
              </w:rPr>
            </w:pPr>
            <w:r w:rsidRPr="00173F3C">
              <w:rPr>
                <w:rFonts w:ascii="Tahoma" w:hAnsi="Tahoma" w:cs="Tahoma"/>
                <w:lang w:val="da"/>
              </w:rPr>
              <w:t xml:space="preserve">Mulighed for </w:t>
            </w:r>
            <w:r w:rsidR="00853093">
              <w:rPr>
                <w:rFonts w:ascii="Tahoma" w:hAnsi="Tahoma" w:cs="Tahoma"/>
                <w:lang w:val="da"/>
              </w:rPr>
              <w:t xml:space="preserve">halvårlig </w:t>
            </w:r>
            <w:r w:rsidRPr="00173F3C">
              <w:rPr>
                <w:rFonts w:ascii="Tahoma" w:hAnsi="Tahoma" w:cs="Tahoma"/>
                <w:lang w:val="da"/>
              </w:rPr>
              <w:t>prisregulering første gang, såfremt pris</w:t>
            </w:r>
            <w:r w:rsidR="00850476" w:rsidRPr="00173F3C">
              <w:rPr>
                <w:rFonts w:ascii="Tahoma" w:hAnsi="Tahoma" w:cs="Tahoma"/>
                <w:lang w:val="da"/>
              </w:rPr>
              <w:t>ændringen der følger af formlen i afsnit 1.4 overstiger ±5%</w:t>
            </w:r>
            <w:r w:rsidR="00173F3C">
              <w:rPr>
                <w:rFonts w:ascii="Tahoma" w:hAnsi="Tahoma" w:cs="Tahoma"/>
                <w:lang w:val="da"/>
              </w:rPr>
              <w:t xml:space="preserve">. </w:t>
            </w:r>
          </w:p>
          <w:p w14:paraId="11A0F77D" w14:textId="14AE7B3B" w:rsidR="00173F3C" w:rsidRPr="00173F3C" w:rsidRDefault="00103B1A" w:rsidP="00853093">
            <w:pPr>
              <w:spacing w:line="360" w:lineRule="auto"/>
              <w:jc w:val="both"/>
              <w:rPr>
                <w:rFonts w:ascii="Tahoma" w:hAnsi="Tahoma" w:cs="Tahoma"/>
                <w:i/>
                <w:lang w:val="da"/>
              </w:rPr>
            </w:pPr>
            <w:r>
              <w:rPr>
                <w:rFonts w:ascii="Tahoma" w:hAnsi="Tahoma" w:cs="Tahoma"/>
                <w:i/>
                <w:lang w:val="da"/>
              </w:rPr>
              <w:t>I dette eksempel antages her en</w:t>
            </w:r>
            <w:r w:rsidR="00173F3C" w:rsidRPr="00173F3C">
              <w:rPr>
                <w:rFonts w:ascii="Tahoma" w:hAnsi="Tahoma" w:cs="Tahoma"/>
                <w:i/>
                <w:lang w:val="da"/>
              </w:rPr>
              <w:t xml:space="preserve"> ændring</w:t>
            </w:r>
            <w:r>
              <w:rPr>
                <w:rFonts w:ascii="Tahoma" w:hAnsi="Tahoma" w:cs="Tahoma"/>
                <w:i/>
                <w:lang w:val="da"/>
              </w:rPr>
              <w:t xml:space="preserve"> på +7%</w:t>
            </w:r>
            <w:r w:rsidR="00173F3C">
              <w:rPr>
                <w:rFonts w:ascii="Tahoma" w:hAnsi="Tahoma" w:cs="Tahoma"/>
                <w:i/>
                <w:lang w:val="da"/>
              </w:rPr>
              <w:t xml:space="preserve"> </w:t>
            </w:r>
            <w:r>
              <w:rPr>
                <w:rFonts w:ascii="Tahoma" w:hAnsi="Tahoma" w:cs="Tahoma"/>
                <w:i/>
                <w:lang w:val="da"/>
              </w:rPr>
              <w:t xml:space="preserve">(dvs. </w:t>
            </w:r>
            <w:r w:rsidR="00173F3C">
              <w:rPr>
                <w:rFonts w:ascii="Tahoma" w:hAnsi="Tahoma" w:cs="Tahoma"/>
                <w:i/>
                <w:lang w:val="da"/>
              </w:rPr>
              <w:t xml:space="preserve">større end </w:t>
            </w:r>
            <w:r w:rsidR="00173F3C" w:rsidRPr="00173F3C">
              <w:rPr>
                <w:rFonts w:ascii="Tahoma" w:hAnsi="Tahoma" w:cs="Tahoma"/>
                <w:lang w:val="da"/>
              </w:rPr>
              <w:t>±5%</w:t>
            </w:r>
            <w:r>
              <w:rPr>
                <w:rFonts w:ascii="Tahoma" w:hAnsi="Tahoma" w:cs="Tahoma"/>
                <w:lang w:val="da"/>
              </w:rPr>
              <w:t>)</w:t>
            </w:r>
            <w:r w:rsidR="00173F3C" w:rsidRPr="00173F3C">
              <w:rPr>
                <w:rFonts w:ascii="Tahoma" w:hAnsi="Tahoma" w:cs="Tahoma"/>
                <w:i/>
                <w:lang w:val="da"/>
              </w:rPr>
              <w:t xml:space="preserve">, så Leverandøren sender de nye indeksværdier (gennemsnit for månederne </w:t>
            </w:r>
            <w:r w:rsidR="00853093">
              <w:rPr>
                <w:rFonts w:ascii="Tahoma" w:hAnsi="Tahoma" w:cs="Tahoma"/>
                <w:i/>
                <w:lang w:val="da"/>
              </w:rPr>
              <w:t>september 2022 til februar 2023</w:t>
            </w:r>
            <w:r w:rsidR="00A7285A">
              <w:rPr>
                <w:rFonts w:ascii="Tahoma" w:hAnsi="Tahoma" w:cs="Tahoma"/>
                <w:i/>
                <w:lang w:val="da"/>
              </w:rPr>
              <w:t xml:space="preserve"> </w:t>
            </w:r>
            <w:r w:rsidR="00173F3C" w:rsidRPr="00173F3C">
              <w:rPr>
                <w:rFonts w:ascii="Tahoma" w:hAnsi="Tahoma" w:cs="Tahoma"/>
                <w:i/>
                <w:lang w:val="da"/>
              </w:rPr>
              <w:t xml:space="preserve">og de nye priser senest 15. </w:t>
            </w:r>
            <w:r w:rsidR="00853093">
              <w:rPr>
                <w:rFonts w:ascii="Tahoma" w:hAnsi="Tahoma" w:cs="Tahoma"/>
                <w:i/>
                <w:lang w:val="da"/>
              </w:rPr>
              <w:t>marts</w:t>
            </w:r>
            <w:r w:rsidR="00173F3C" w:rsidRPr="00173F3C">
              <w:rPr>
                <w:rFonts w:ascii="Tahoma" w:hAnsi="Tahoma" w:cs="Tahoma"/>
                <w:i/>
                <w:lang w:val="da"/>
              </w:rPr>
              <w:t xml:space="preserve"> 2023. FMI og </w:t>
            </w:r>
            <w:r w:rsidR="00173F3C">
              <w:rPr>
                <w:rFonts w:ascii="Tahoma" w:hAnsi="Tahoma" w:cs="Tahoma"/>
                <w:i/>
                <w:lang w:val="da"/>
              </w:rPr>
              <w:t>L</w:t>
            </w:r>
            <w:r w:rsidR="00173F3C" w:rsidRPr="00173F3C">
              <w:rPr>
                <w:rFonts w:ascii="Tahoma" w:hAnsi="Tahoma" w:cs="Tahoma"/>
                <w:i/>
                <w:lang w:val="da"/>
              </w:rPr>
              <w:t>everandør</w:t>
            </w:r>
            <w:r w:rsidR="00173F3C">
              <w:rPr>
                <w:rFonts w:ascii="Tahoma" w:hAnsi="Tahoma" w:cs="Tahoma"/>
                <w:i/>
                <w:lang w:val="da"/>
              </w:rPr>
              <w:t>en</w:t>
            </w:r>
            <w:r w:rsidR="00173F3C" w:rsidRPr="00173F3C">
              <w:rPr>
                <w:rFonts w:ascii="Tahoma" w:hAnsi="Tahoma" w:cs="Tahoma"/>
                <w:i/>
                <w:lang w:val="da"/>
              </w:rPr>
              <w:t xml:space="preserve"> implementerer de nye priser senest </w:t>
            </w:r>
            <w:r>
              <w:rPr>
                <w:rFonts w:ascii="Tahoma" w:hAnsi="Tahoma" w:cs="Tahoma"/>
                <w:i/>
                <w:lang w:val="da"/>
              </w:rPr>
              <w:t>15 dage efter de er modtaget,</w:t>
            </w:r>
            <w:r w:rsidR="00173F3C" w:rsidRPr="00173F3C">
              <w:rPr>
                <w:rFonts w:ascii="Tahoma" w:hAnsi="Tahoma" w:cs="Tahoma"/>
                <w:i/>
                <w:lang w:val="da"/>
              </w:rPr>
              <w:t xml:space="preserve"> med</w:t>
            </w:r>
            <w:r>
              <w:rPr>
                <w:rFonts w:ascii="Tahoma" w:hAnsi="Tahoma" w:cs="Tahoma"/>
                <w:i/>
                <w:lang w:val="da"/>
              </w:rPr>
              <w:t xml:space="preserve"> </w:t>
            </w:r>
            <w:r w:rsidR="00173F3C" w:rsidRPr="00173F3C">
              <w:rPr>
                <w:rFonts w:ascii="Tahoma" w:hAnsi="Tahoma" w:cs="Tahoma"/>
                <w:i/>
                <w:lang w:val="da"/>
              </w:rPr>
              <w:t>mindre FMI ikke er enig.</w:t>
            </w:r>
          </w:p>
        </w:tc>
        <w:tc>
          <w:tcPr>
            <w:tcW w:w="1701" w:type="dxa"/>
          </w:tcPr>
          <w:p w14:paraId="67433E44" w14:textId="5F3EB9D8" w:rsidR="00ED6D84" w:rsidRPr="00173F3C" w:rsidRDefault="00850476" w:rsidP="00850476">
            <w:pPr>
              <w:pStyle w:val="ListParagraph"/>
              <w:spacing w:line="360" w:lineRule="auto"/>
              <w:ind w:left="0"/>
              <w:rPr>
                <w:rFonts w:ascii="Tahoma" w:hAnsi="Tahoma" w:cs="Tahoma"/>
                <w:lang w:val="da"/>
              </w:rPr>
            </w:pPr>
            <w:r w:rsidRPr="00173F3C">
              <w:rPr>
                <w:rFonts w:ascii="Tahoma" w:hAnsi="Tahoma" w:cs="Tahoma"/>
                <w:lang w:val="da"/>
              </w:rPr>
              <w:t xml:space="preserve">1. </w:t>
            </w:r>
            <w:r w:rsidR="00853093">
              <w:rPr>
                <w:rFonts w:ascii="Tahoma" w:hAnsi="Tahoma" w:cs="Tahoma"/>
                <w:lang w:val="da"/>
              </w:rPr>
              <w:t>Marts</w:t>
            </w:r>
            <w:r w:rsidR="00ED6D84" w:rsidRPr="00173F3C">
              <w:rPr>
                <w:rFonts w:ascii="Tahoma" w:hAnsi="Tahoma" w:cs="Tahoma"/>
                <w:lang w:val="da"/>
              </w:rPr>
              <w:t>2023</w:t>
            </w:r>
          </w:p>
        </w:tc>
      </w:tr>
      <w:tr w:rsidR="00850476" w14:paraId="603FF966" w14:textId="77777777" w:rsidTr="00173F3C">
        <w:tc>
          <w:tcPr>
            <w:tcW w:w="7797" w:type="dxa"/>
          </w:tcPr>
          <w:p w14:paraId="4068995F" w14:textId="77777777" w:rsidR="00850476" w:rsidRDefault="00850476" w:rsidP="00850476">
            <w:pPr>
              <w:spacing w:line="360" w:lineRule="auto"/>
              <w:jc w:val="both"/>
              <w:rPr>
                <w:rFonts w:ascii="Tahoma" w:hAnsi="Tahoma" w:cs="Tahoma"/>
                <w:lang w:val="da"/>
              </w:rPr>
            </w:pPr>
            <w:r w:rsidRPr="00173F3C">
              <w:rPr>
                <w:rFonts w:ascii="Tahoma" w:hAnsi="Tahoma" w:cs="Tahoma"/>
                <w:lang w:val="da"/>
              </w:rPr>
              <w:t>Mulighed for første årlige prisregulering</w:t>
            </w:r>
            <w:r w:rsidR="00173F3C">
              <w:rPr>
                <w:rFonts w:ascii="Tahoma" w:hAnsi="Tahoma" w:cs="Tahoma"/>
                <w:lang w:val="da"/>
              </w:rPr>
              <w:t>.</w:t>
            </w:r>
          </w:p>
          <w:p w14:paraId="07D0AEE0" w14:textId="1EB4E3F5" w:rsidR="00173F3C" w:rsidRPr="00A6749E" w:rsidRDefault="00173F3C" w:rsidP="00853093">
            <w:pPr>
              <w:spacing w:line="360" w:lineRule="auto"/>
              <w:jc w:val="both"/>
              <w:rPr>
                <w:rFonts w:ascii="Tahoma" w:hAnsi="Tahoma" w:cs="Tahoma"/>
                <w:i/>
                <w:lang w:val="da"/>
              </w:rPr>
            </w:pPr>
            <w:r w:rsidRPr="00A6749E">
              <w:rPr>
                <w:rFonts w:ascii="Tahoma" w:hAnsi="Tahoma" w:cs="Tahoma"/>
                <w:i/>
                <w:lang w:val="da"/>
              </w:rPr>
              <w:t xml:space="preserve">Leverandøren sender de nye indeksværdier (gennemsnit for månederne </w:t>
            </w:r>
            <w:r w:rsidR="00853093">
              <w:rPr>
                <w:rFonts w:ascii="Tahoma" w:hAnsi="Tahoma" w:cs="Tahoma"/>
                <w:i/>
                <w:lang w:val="da"/>
              </w:rPr>
              <w:t>marts til august 2023</w:t>
            </w:r>
            <w:r w:rsidRPr="00A6749E">
              <w:rPr>
                <w:rFonts w:ascii="Tahoma" w:hAnsi="Tahoma" w:cs="Tahoma"/>
                <w:i/>
                <w:lang w:val="da"/>
              </w:rPr>
              <w:t xml:space="preserve">) og de nye priser senest 15. </w:t>
            </w:r>
            <w:r w:rsidR="00853093">
              <w:rPr>
                <w:rFonts w:ascii="Tahoma" w:hAnsi="Tahoma" w:cs="Tahoma"/>
                <w:i/>
                <w:lang w:val="da"/>
              </w:rPr>
              <w:t>september</w:t>
            </w:r>
            <w:r w:rsidRPr="00A6749E">
              <w:rPr>
                <w:rFonts w:ascii="Tahoma" w:hAnsi="Tahoma" w:cs="Tahoma"/>
                <w:i/>
                <w:lang w:val="da"/>
              </w:rPr>
              <w:t xml:space="preserve">2023. FMI og Leverandøren implementerer de nye priser senest </w:t>
            </w:r>
            <w:r w:rsidR="00103B1A">
              <w:rPr>
                <w:rFonts w:ascii="Tahoma" w:hAnsi="Tahoma" w:cs="Tahoma"/>
                <w:i/>
                <w:lang w:val="da"/>
              </w:rPr>
              <w:t>15 dage efter de er modtaget,</w:t>
            </w:r>
            <w:r w:rsidRPr="00A6749E">
              <w:rPr>
                <w:rFonts w:ascii="Tahoma" w:hAnsi="Tahoma" w:cs="Tahoma"/>
                <w:i/>
                <w:lang w:val="da"/>
              </w:rPr>
              <w:t xml:space="preserve"> med</w:t>
            </w:r>
            <w:r w:rsidR="00103B1A">
              <w:rPr>
                <w:rFonts w:ascii="Tahoma" w:hAnsi="Tahoma" w:cs="Tahoma"/>
                <w:i/>
                <w:lang w:val="da"/>
              </w:rPr>
              <w:t xml:space="preserve"> </w:t>
            </w:r>
            <w:r w:rsidRPr="00A6749E">
              <w:rPr>
                <w:rFonts w:ascii="Tahoma" w:hAnsi="Tahoma" w:cs="Tahoma"/>
                <w:i/>
                <w:lang w:val="da"/>
              </w:rPr>
              <w:t>mindre FMI ikke er enig.</w:t>
            </w:r>
            <w:r w:rsidR="00D93397">
              <w:rPr>
                <w:rFonts w:ascii="Tahoma" w:hAnsi="Tahoma" w:cs="Tahoma"/>
                <w:i/>
                <w:lang w:val="da"/>
              </w:rPr>
              <w:t xml:space="preserve"> </w:t>
            </w:r>
          </w:p>
        </w:tc>
        <w:tc>
          <w:tcPr>
            <w:tcW w:w="1701" w:type="dxa"/>
          </w:tcPr>
          <w:p w14:paraId="6BD18749" w14:textId="1C99E288" w:rsidR="00850476" w:rsidRPr="00173F3C" w:rsidRDefault="00173F3C" w:rsidP="00853093">
            <w:pPr>
              <w:pStyle w:val="ListParagraph"/>
              <w:spacing w:line="360" w:lineRule="auto"/>
              <w:ind w:left="0"/>
              <w:rPr>
                <w:rFonts w:ascii="Tahoma" w:hAnsi="Tahoma" w:cs="Tahoma"/>
                <w:lang w:val="da"/>
              </w:rPr>
            </w:pPr>
            <w:r w:rsidRPr="00173F3C">
              <w:rPr>
                <w:rFonts w:ascii="Tahoma" w:hAnsi="Tahoma" w:cs="Tahoma"/>
                <w:lang w:val="da"/>
              </w:rPr>
              <w:t xml:space="preserve">1. </w:t>
            </w:r>
            <w:r w:rsidR="00853093">
              <w:rPr>
                <w:rFonts w:ascii="Tahoma" w:hAnsi="Tahoma" w:cs="Tahoma"/>
                <w:lang w:val="da"/>
              </w:rPr>
              <w:t>september</w:t>
            </w:r>
            <w:r w:rsidRPr="00173F3C">
              <w:rPr>
                <w:rFonts w:ascii="Tahoma" w:hAnsi="Tahoma" w:cs="Tahoma"/>
                <w:lang w:val="da"/>
              </w:rPr>
              <w:t xml:space="preserve"> 2023</w:t>
            </w:r>
          </w:p>
        </w:tc>
      </w:tr>
      <w:tr w:rsidR="00173F3C" w14:paraId="7352F7ED" w14:textId="77777777" w:rsidTr="00173F3C">
        <w:tc>
          <w:tcPr>
            <w:tcW w:w="7797" w:type="dxa"/>
          </w:tcPr>
          <w:p w14:paraId="114F9DE4" w14:textId="77777777" w:rsidR="00173F3C" w:rsidRPr="00173F3C" w:rsidRDefault="00173F3C" w:rsidP="00173F3C">
            <w:pPr>
              <w:spacing w:line="360" w:lineRule="auto"/>
              <w:jc w:val="both"/>
              <w:rPr>
                <w:rFonts w:ascii="Tahoma" w:hAnsi="Tahoma" w:cs="Tahoma"/>
                <w:lang w:val="da"/>
              </w:rPr>
            </w:pPr>
            <w:r w:rsidRPr="00173F3C">
              <w:rPr>
                <w:rFonts w:ascii="Tahoma" w:hAnsi="Tahoma" w:cs="Tahoma"/>
                <w:lang w:val="da"/>
              </w:rPr>
              <w:t>Og så fremdeles</w:t>
            </w:r>
            <w:r>
              <w:rPr>
                <w:rFonts w:ascii="Tahoma" w:hAnsi="Tahoma" w:cs="Tahoma"/>
                <w:lang w:val="da"/>
              </w:rPr>
              <w:t>...</w:t>
            </w:r>
          </w:p>
        </w:tc>
        <w:tc>
          <w:tcPr>
            <w:tcW w:w="1701" w:type="dxa"/>
          </w:tcPr>
          <w:p w14:paraId="3668F385" w14:textId="77777777" w:rsidR="00173F3C" w:rsidRPr="00173F3C" w:rsidRDefault="00173F3C" w:rsidP="00173F3C">
            <w:pPr>
              <w:pStyle w:val="ListParagraph"/>
              <w:spacing w:line="360" w:lineRule="auto"/>
              <w:ind w:left="0"/>
              <w:rPr>
                <w:rFonts w:ascii="Tahoma" w:hAnsi="Tahoma" w:cs="Tahoma"/>
                <w:lang w:val="da"/>
              </w:rPr>
            </w:pPr>
            <w:r w:rsidRPr="00173F3C">
              <w:rPr>
                <w:rFonts w:ascii="Tahoma" w:hAnsi="Tahoma" w:cs="Tahoma"/>
                <w:lang w:val="da"/>
              </w:rPr>
              <w:t>...</w:t>
            </w:r>
          </w:p>
        </w:tc>
      </w:tr>
    </w:tbl>
    <w:p w14:paraId="50FE2B4B" w14:textId="77777777" w:rsidR="00ED6D84" w:rsidRPr="00821A09" w:rsidRDefault="00ED6D84" w:rsidP="00173F3C">
      <w:pPr>
        <w:spacing w:line="360" w:lineRule="auto"/>
        <w:jc w:val="both"/>
        <w:rPr>
          <w:rFonts w:ascii="Tahoma" w:hAnsi="Tahoma" w:cs="Tahoma"/>
        </w:rPr>
      </w:pPr>
    </w:p>
    <w:sectPr w:rsidR="00ED6D84" w:rsidRPr="00821A09" w:rsidSect="00C5586F">
      <w:headerReference w:type="default" r:id="rId12"/>
      <w:footerReference w:type="default" r:id="rId13"/>
      <w:pgSz w:w="11906" w:h="16838"/>
      <w:pgMar w:top="2126" w:right="1134"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37CC2" w14:textId="77777777" w:rsidR="00425394" w:rsidRDefault="00425394">
      <w:r>
        <w:separator/>
      </w:r>
    </w:p>
  </w:endnote>
  <w:endnote w:type="continuationSeparator" w:id="0">
    <w:p w14:paraId="3BFB92D8" w14:textId="77777777" w:rsidR="00425394" w:rsidRDefault="0042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8"/>
    </w:tblGrid>
    <w:tr w:rsidR="00504650" w:rsidRPr="00D21EFE" w14:paraId="215643B5" w14:textId="77777777" w:rsidTr="002C65EA">
      <w:trPr>
        <w:trHeight w:val="470"/>
      </w:trPr>
      <w:tc>
        <w:tcPr>
          <w:tcW w:w="9639" w:type="dxa"/>
          <w:tcBorders>
            <w:left w:val="nil"/>
            <w:bottom w:val="nil"/>
            <w:right w:val="nil"/>
          </w:tcBorders>
          <w:vAlign w:val="center"/>
        </w:tcPr>
        <w:p w14:paraId="42FE7F71" w14:textId="3EB13084" w:rsidR="00504650" w:rsidRPr="000340E0" w:rsidRDefault="00504650" w:rsidP="00C77677">
          <w:pPr>
            <w:pStyle w:val="Footer"/>
            <w:tabs>
              <w:tab w:val="clear" w:pos="4819"/>
              <w:tab w:val="left" w:pos="993"/>
              <w:tab w:val="center" w:pos="5096"/>
              <w:tab w:val="right" w:pos="9498"/>
            </w:tabs>
            <w:ind w:right="57"/>
            <w:rPr>
              <w:sz w:val="16"/>
              <w:szCs w:val="18"/>
            </w:rPr>
          </w:pPr>
          <w:r>
            <w:rPr>
              <w:sz w:val="16"/>
              <w:szCs w:val="18"/>
              <w:lang w:val="da"/>
            </w:rPr>
            <w:t>Aftale-nr. 460000</w:t>
          </w:r>
          <w:r>
            <w:rPr>
              <w:sz w:val="16"/>
              <w:szCs w:val="18"/>
              <w:highlight w:val="yellow"/>
              <w:lang w:val="da"/>
            </w:rPr>
            <w:t>XXXX</w:t>
          </w:r>
          <w:r w:rsidR="00E95E2D">
            <w:rPr>
              <w:sz w:val="16"/>
              <w:szCs w:val="18"/>
              <w:lang w:val="da"/>
            </w:rPr>
            <w:tab/>
            <w:t>Version 5.3</w:t>
          </w:r>
          <w:r>
            <w:rPr>
              <w:sz w:val="16"/>
              <w:szCs w:val="18"/>
              <w:lang w:val="da"/>
            </w:rPr>
            <w:tab/>
            <w:t xml:space="preserve">Side </w:t>
          </w:r>
          <w:r>
            <w:rPr>
              <w:rStyle w:val="PageNumber"/>
              <w:sz w:val="16"/>
              <w:szCs w:val="18"/>
              <w:lang w:val="da"/>
            </w:rPr>
            <w:fldChar w:fldCharType="begin"/>
          </w:r>
          <w:r>
            <w:rPr>
              <w:rStyle w:val="PageNumber"/>
              <w:sz w:val="16"/>
              <w:szCs w:val="18"/>
              <w:lang w:val="da"/>
            </w:rPr>
            <w:instrText xml:space="preserve"> PAGE </w:instrText>
          </w:r>
          <w:r>
            <w:rPr>
              <w:rStyle w:val="PageNumber"/>
              <w:sz w:val="16"/>
              <w:szCs w:val="18"/>
              <w:lang w:val="da"/>
            </w:rPr>
            <w:fldChar w:fldCharType="separate"/>
          </w:r>
          <w:r w:rsidR="004135E8">
            <w:rPr>
              <w:rStyle w:val="PageNumber"/>
              <w:noProof/>
              <w:sz w:val="16"/>
              <w:szCs w:val="18"/>
              <w:lang w:val="da"/>
            </w:rPr>
            <w:t>7</w:t>
          </w:r>
          <w:r>
            <w:rPr>
              <w:rStyle w:val="PageNumber"/>
              <w:sz w:val="16"/>
              <w:szCs w:val="18"/>
              <w:lang w:val="da"/>
            </w:rPr>
            <w:fldChar w:fldCharType="end"/>
          </w:r>
          <w:r>
            <w:rPr>
              <w:rStyle w:val="PageNumber"/>
              <w:sz w:val="16"/>
              <w:szCs w:val="18"/>
              <w:lang w:val="da"/>
            </w:rPr>
            <w:t xml:space="preserve"> af </w:t>
          </w:r>
          <w:r>
            <w:rPr>
              <w:sz w:val="16"/>
              <w:szCs w:val="18"/>
              <w:lang w:val="da"/>
            </w:rPr>
            <w:fldChar w:fldCharType="begin"/>
          </w:r>
          <w:r>
            <w:rPr>
              <w:sz w:val="16"/>
              <w:szCs w:val="18"/>
              <w:lang w:val="da"/>
            </w:rPr>
            <w:instrText xml:space="preserve"> NUMPAGES </w:instrText>
          </w:r>
          <w:r>
            <w:rPr>
              <w:sz w:val="16"/>
              <w:szCs w:val="18"/>
              <w:lang w:val="da"/>
            </w:rPr>
            <w:fldChar w:fldCharType="separate"/>
          </w:r>
          <w:r w:rsidR="004135E8">
            <w:rPr>
              <w:noProof/>
              <w:sz w:val="16"/>
              <w:szCs w:val="18"/>
              <w:lang w:val="da"/>
            </w:rPr>
            <w:t>7</w:t>
          </w:r>
          <w:r>
            <w:rPr>
              <w:sz w:val="16"/>
              <w:szCs w:val="18"/>
              <w:lang w:val="da"/>
            </w:rPr>
            <w:fldChar w:fldCharType="end"/>
          </w:r>
          <w:r>
            <w:rPr>
              <w:sz w:val="16"/>
              <w:szCs w:val="18"/>
              <w:lang w:val="da"/>
            </w:rPr>
            <w:tab/>
          </w:r>
        </w:p>
        <w:p w14:paraId="386BF9AD" w14:textId="77777777" w:rsidR="00504650" w:rsidRPr="000340E0" w:rsidRDefault="00504650" w:rsidP="00C84376">
          <w:pPr>
            <w:pStyle w:val="Footer"/>
            <w:tabs>
              <w:tab w:val="left" w:pos="993"/>
              <w:tab w:val="left" w:pos="2268"/>
              <w:tab w:val="left" w:pos="3261"/>
              <w:tab w:val="left" w:pos="4111"/>
              <w:tab w:val="left" w:pos="7230"/>
              <w:tab w:val="left" w:pos="7938"/>
              <w:tab w:val="right" w:pos="9498"/>
            </w:tabs>
            <w:ind w:right="57"/>
            <w:rPr>
              <w:noProof/>
              <w:sz w:val="16"/>
              <w:szCs w:val="18"/>
            </w:rPr>
          </w:pPr>
        </w:p>
      </w:tc>
    </w:tr>
  </w:tbl>
  <w:p w14:paraId="057032C6" w14:textId="77777777" w:rsidR="00504650" w:rsidRPr="00A93C85" w:rsidRDefault="00504650" w:rsidP="00A93C85">
    <w:pPr>
      <w:pStyle w:val="Footer"/>
      <w:tabs>
        <w:tab w:val="clear" w:pos="4819"/>
        <w:tab w:val="clear" w:pos="9638"/>
      </w:tabs>
      <w:jc w:val="cen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C1366" w14:textId="77777777" w:rsidR="00425394" w:rsidRDefault="00425394">
      <w:r>
        <w:separator/>
      </w:r>
    </w:p>
  </w:footnote>
  <w:footnote w:type="continuationSeparator" w:id="0">
    <w:p w14:paraId="7C8F8D2A" w14:textId="77777777" w:rsidR="00425394" w:rsidRDefault="0042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6014"/>
      <w:gridCol w:w="2663"/>
      <w:gridCol w:w="677"/>
    </w:tblGrid>
    <w:tr w:rsidR="00504650" w:rsidRPr="00D21EFE" w14:paraId="59349745" w14:textId="77777777" w:rsidTr="00643350">
      <w:tc>
        <w:tcPr>
          <w:tcW w:w="1719" w:type="dxa"/>
          <w:vAlign w:val="center"/>
        </w:tcPr>
        <w:p w14:paraId="02FF202C" w14:textId="77777777" w:rsidR="00504650" w:rsidRDefault="00691A07" w:rsidP="00643350">
          <w:pPr>
            <w:jc w:val="center"/>
            <w:rPr>
              <w:rFonts w:ascii="Verdana" w:hAnsi="Verdana"/>
              <w:noProof/>
            </w:rPr>
          </w:pPr>
          <w:r>
            <w:rPr>
              <w:noProof/>
              <w:lang w:val="en-US" w:eastAsia="en-US"/>
            </w:rPr>
            <w:drawing>
              <wp:inline distT="0" distB="0" distL="0" distR="0" wp14:anchorId="1CF8DDDF" wp14:editId="12646DEF">
                <wp:extent cx="3681730" cy="580390"/>
                <wp:effectExtent l="0" t="0" r="0" b="0"/>
                <wp:docPr id="3" name="LogoOne_bmkArt" title="Artwo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81730" cy="580390"/>
                        </a:xfrm>
                        <a:prstGeom prst="rect">
                          <a:avLst/>
                        </a:prstGeom>
                      </pic:spPr>
                    </pic:pic>
                  </a:graphicData>
                </a:graphic>
              </wp:inline>
            </w:drawing>
          </w:r>
        </w:p>
        <w:p w14:paraId="1081F428" w14:textId="77777777" w:rsidR="00504650" w:rsidRPr="0051186F" w:rsidRDefault="00504650" w:rsidP="00643350">
          <w:pPr>
            <w:jc w:val="center"/>
            <w:rPr>
              <w:sz w:val="16"/>
              <w:szCs w:val="16"/>
              <w:u w:val="single"/>
            </w:rPr>
          </w:pPr>
        </w:p>
      </w:tc>
      <w:tc>
        <w:tcPr>
          <w:tcW w:w="6466" w:type="dxa"/>
          <w:vAlign w:val="center"/>
        </w:tcPr>
        <w:p w14:paraId="6480508A" w14:textId="77777777" w:rsidR="00344C9E" w:rsidRPr="00344C9E" w:rsidRDefault="00344C9E" w:rsidP="00643350">
          <w:pPr>
            <w:jc w:val="center"/>
            <w:rPr>
              <w:sz w:val="28"/>
              <w:szCs w:val="28"/>
              <w:u w:val="single"/>
            </w:rPr>
          </w:pPr>
        </w:p>
      </w:tc>
      <w:tc>
        <w:tcPr>
          <w:tcW w:w="1386" w:type="dxa"/>
          <w:vAlign w:val="center"/>
        </w:tcPr>
        <w:p w14:paraId="299E9CD8" w14:textId="77777777" w:rsidR="00504650" w:rsidRPr="00344C9E" w:rsidRDefault="00504650" w:rsidP="00643350">
          <w:pPr>
            <w:jc w:val="center"/>
            <w:rPr>
              <w:rFonts w:ascii="Verdana" w:hAnsi="Verdana" w:cs="Arial"/>
            </w:rPr>
          </w:pPr>
        </w:p>
        <w:p w14:paraId="44F3D4B9" w14:textId="77777777" w:rsidR="00504650" w:rsidRPr="00344C9E" w:rsidRDefault="00504650" w:rsidP="00643350">
          <w:pPr>
            <w:jc w:val="center"/>
            <w:rPr>
              <w:sz w:val="16"/>
              <w:szCs w:val="16"/>
              <w:u w:val="single"/>
            </w:rPr>
          </w:pPr>
        </w:p>
      </w:tc>
    </w:tr>
  </w:tbl>
  <w:p w14:paraId="519C18A4" w14:textId="77777777" w:rsidR="00504650" w:rsidRPr="006361D2" w:rsidRDefault="00504650" w:rsidP="00FE5325">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00E03C4"/>
    <w:lvl w:ilvl="0">
      <w:start w:val="1"/>
      <w:numFmt w:val="bullet"/>
      <w:pStyle w:val="Heading9"/>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28161B50"/>
    <w:lvl w:ilvl="0">
      <w:start w:val="1"/>
      <w:numFmt w:val="decimal"/>
      <w:pStyle w:val="ListNumber"/>
      <w:suff w:val="space"/>
      <w:lvlText w:val="%1."/>
      <w:lvlJc w:val="left"/>
      <w:pPr>
        <w:ind w:left="360" w:hanging="247"/>
      </w:pPr>
      <w:rPr>
        <w:rFonts w:cs="Times New Roman" w:hint="default"/>
      </w:rPr>
    </w:lvl>
  </w:abstractNum>
  <w:abstractNum w:abstractNumId="2" w15:restartNumberingAfterBreak="0">
    <w:nsid w:val="FFFFFF89"/>
    <w:multiLevelType w:val="singleLevel"/>
    <w:tmpl w:val="6A105274"/>
    <w:lvl w:ilvl="0">
      <w:start w:val="1"/>
      <w:numFmt w:val="bullet"/>
      <w:pStyle w:val="HeadingB"/>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03287648"/>
    <w:lvl w:ilvl="0">
      <w:start w:val="1"/>
      <w:numFmt w:val="decimal"/>
      <w:pStyle w:val="Heading1"/>
      <w:lvlText w:val="%1."/>
      <w:lvlJc w:val="left"/>
      <w:rPr>
        <w:rFonts w:hint="default"/>
      </w:rPr>
    </w:lvl>
    <w:lvl w:ilvl="1">
      <w:start w:val="1"/>
      <w:numFmt w:val="decimal"/>
      <w:pStyle w:val="Heading2"/>
      <w:lvlText w:val="%1.%2"/>
      <w:lvlJc w:val="left"/>
      <w:rPr>
        <w:rFonts w:cs="Times New Roman" w:hint="default"/>
        <w:sz w:val="20"/>
        <w:szCs w:val="20"/>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4" w15:restartNumberingAfterBreak="0">
    <w:nsid w:val="1B025D02"/>
    <w:multiLevelType w:val="multilevel"/>
    <w:tmpl w:val="1604D580"/>
    <w:lvl w:ilvl="0">
      <w:start w:val="1"/>
      <w:numFmt w:val="decimal"/>
      <w:lvlText w:val="%1"/>
      <w:lvlJc w:val="left"/>
      <w:pPr>
        <w:tabs>
          <w:tab w:val="num" w:pos="340"/>
        </w:tabs>
        <w:ind w:left="340" w:hanging="340"/>
      </w:pPr>
      <w:rPr>
        <w:rFonts w:ascii="9999999" w:hAnsi="9999999" w:cs="Times New Roman"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 w15:restartNumberingAfterBreak="0">
    <w:nsid w:val="1DC42593"/>
    <w:multiLevelType w:val="hybridMultilevel"/>
    <w:tmpl w:val="EFB8F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B152D"/>
    <w:multiLevelType w:val="singleLevel"/>
    <w:tmpl w:val="59FA59DE"/>
    <w:lvl w:ilvl="0">
      <w:start w:val="1"/>
      <w:numFmt w:val="decimal"/>
      <w:suff w:val="space"/>
      <w:lvlText w:val="%1."/>
      <w:lvlJc w:val="left"/>
      <w:pPr>
        <w:ind w:left="360" w:hanging="247"/>
      </w:pPr>
      <w:rPr>
        <w:rFonts w:cs="Times New Roman" w:hint="default"/>
      </w:rPr>
    </w:lvl>
  </w:abstractNum>
  <w:abstractNum w:abstractNumId="7" w15:restartNumberingAfterBreak="0">
    <w:nsid w:val="24D83B48"/>
    <w:multiLevelType w:val="hybridMultilevel"/>
    <w:tmpl w:val="CEF8A2FA"/>
    <w:lvl w:ilvl="0" w:tplc="21D405DA">
      <w:start w:val="1"/>
      <w:numFmt w:val="decimal"/>
      <w:lvlText w:val="%1."/>
      <w:lvlJc w:val="left"/>
      <w:pPr>
        <w:ind w:left="799" w:hanging="360"/>
      </w:pPr>
      <w:rPr>
        <w:rFonts w:hint="default"/>
      </w:rPr>
    </w:lvl>
    <w:lvl w:ilvl="1" w:tplc="04060019" w:tentative="1">
      <w:start w:val="1"/>
      <w:numFmt w:val="lowerLetter"/>
      <w:lvlText w:val="%2."/>
      <w:lvlJc w:val="left"/>
      <w:pPr>
        <w:ind w:left="1519" w:hanging="360"/>
      </w:pPr>
    </w:lvl>
    <w:lvl w:ilvl="2" w:tplc="0406001B" w:tentative="1">
      <w:start w:val="1"/>
      <w:numFmt w:val="lowerRoman"/>
      <w:lvlText w:val="%3."/>
      <w:lvlJc w:val="right"/>
      <w:pPr>
        <w:ind w:left="2239" w:hanging="180"/>
      </w:pPr>
    </w:lvl>
    <w:lvl w:ilvl="3" w:tplc="0406000F" w:tentative="1">
      <w:start w:val="1"/>
      <w:numFmt w:val="decimal"/>
      <w:lvlText w:val="%4."/>
      <w:lvlJc w:val="left"/>
      <w:pPr>
        <w:ind w:left="2959" w:hanging="360"/>
      </w:pPr>
    </w:lvl>
    <w:lvl w:ilvl="4" w:tplc="04060019" w:tentative="1">
      <w:start w:val="1"/>
      <w:numFmt w:val="lowerLetter"/>
      <w:lvlText w:val="%5."/>
      <w:lvlJc w:val="left"/>
      <w:pPr>
        <w:ind w:left="3679" w:hanging="360"/>
      </w:pPr>
    </w:lvl>
    <w:lvl w:ilvl="5" w:tplc="0406001B" w:tentative="1">
      <w:start w:val="1"/>
      <w:numFmt w:val="lowerRoman"/>
      <w:lvlText w:val="%6."/>
      <w:lvlJc w:val="right"/>
      <w:pPr>
        <w:ind w:left="4399" w:hanging="180"/>
      </w:pPr>
    </w:lvl>
    <w:lvl w:ilvl="6" w:tplc="0406000F" w:tentative="1">
      <w:start w:val="1"/>
      <w:numFmt w:val="decimal"/>
      <w:lvlText w:val="%7."/>
      <w:lvlJc w:val="left"/>
      <w:pPr>
        <w:ind w:left="5119" w:hanging="360"/>
      </w:pPr>
    </w:lvl>
    <w:lvl w:ilvl="7" w:tplc="04060019" w:tentative="1">
      <w:start w:val="1"/>
      <w:numFmt w:val="lowerLetter"/>
      <w:lvlText w:val="%8."/>
      <w:lvlJc w:val="left"/>
      <w:pPr>
        <w:ind w:left="5839" w:hanging="360"/>
      </w:pPr>
    </w:lvl>
    <w:lvl w:ilvl="8" w:tplc="0406001B" w:tentative="1">
      <w:start w:val="1"/>
      <w:numFmt w:val="lowerRoman"/>
      <w:lvlText w:val="%9."/>
      <w:lvlJc w:val="right"/>
      <w:pPr>
        <w:ind w:left="6559" w:hanging="180"/>
      </w:pPr>
    </w:lvl>
  </w:abstractNum>
  <w:abstractNum w:abstractNumId="8" w15:restartNumberingAfterBreak="0">
    <w:nsid w:val="25172100"/>
    <w:multiLevelType w:val="multilevel"/>
    <w:tmpl w:val="FFFFFFFF"/>
    <w:lvl w:ilvl="0">
      <w:start w:val="1"/>
      <w:numFmt w:val="decimal"/>
      <w:pStyle w:val="ListBullet"/>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9" w15:restartNumberingAfterBreak="0">
    <w:nsid w:val="284B01B1"/>
    <w:multiLevelType w:val="multilevel"/>
    <w:tmpl w:val="04060025"/>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9C5304D"/>
    <w:multiLevelType w:val="singleLevel"/>
    <w:tmpl w:val="EC7630FA"/>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2D0A0222"/>
    <w:multiLevelType w:val="hybridMultilevel"/>
    <w:tmpl w:val="7096A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D6C94"/>
    <w:multiLevelType w:val="hybridMultilevel"/>
    <w:tmpl w:val="8604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5559E"/>
    <w:multiLevelType w:val="singleLevel"/>
    <w:tmpl w:val="53F40FB8"/>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44150F76"/>
    <w:multiLevelType w:val="multilevel"/>
    <w:tmpl w:val="F5CE77CE"/>
    <w:lvl w:ilvl="0">
      <w:start w:val="1"/>
      <w:numFmt w:val="bullet"/>
      <w:lvlText w:val=""/>
      <w:lvlJc w:val="left"/>
      <w:rPr>
        <w:rFonts w:ascii="Symbol" w:hAnsi="Symbol" w:hint="default"/>
      </w:rPr>
    </w:lvl>
    <w:lvl w:ilvl="1">
      <w:start w:val="1"/>
      <w:numFmt w:val="bullet"/>
      <w:lvlText w:val="o"/>
      <w:lvlJc w:val="left"/>
      <w:rPr>
        <w:rFonts w:ascii="Courier New" w:hAnsi="Courier New" w:hint="default"/>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5" w15:restartNumberingAfterBreak="0">
    <w:nsid w:val="46224E5A"/>
    <w:multiLevelType w:val="singleLevel"/>
    <w:tmpl w:val="26BC7470"/>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56BA5678"/>
    <w:multiLevelType w:val="singleLevel"/>
    <w:tmpl w:val="1D6C1E1A"/>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5DC52888"/>
    <w:multiLevelType w:val="singleLevel"/>
    <w:tmpl w:val="9F32C0CA"/>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67B714DC"/>
    <w:multiLevelType w:val="hybridMultilevel"/>
    <w:tmpl w:val="63542D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B6C1F64"/>
    <w:multiLevelType w:val="multilevel"/>
    <w:tmpl w:val="B8AEA35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0" w15:restartNumberingAfterBreak="0">
    <w:nsid w:val="7B831F55"/>
    <w:multiLevelType w:val="hybridMultilevel"/>
    <w:tmpl w:val="0F00F760"/>
    <w:lvl w:ilvl="0" w:tplc="79844156">
      <w:numFmt w:val="bullet"/>
      <w:lvlText w:val="-"/>
      <w:lvlJc w:val="left"/>
      <w:pPr>
        <w:ind w:left="927" w:hanging="360"/>
      </w:pPr>
      <w:rPr>
        <w:rFonts w:ascii="Tahoma" w:eastAsia="Times New Roman" w:hAnsi="Tahoma" w:cs="Tahoma"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1" w15:restartNumberingAfterBreak="0">
    <w:nsid w:val="7D6F635F"/>
    <w:multiLevelType w:val="multilevel"/>
    <w:tmpl w:val="FC88A88C"/>
    <w:styleLink w:val="TypografiTypografiTypografiTypografiTypografiTypografiTypografiT2"/>
    <w:lvl w:ilvl="0">
      <w:start w:val="1"/>
      <w:numFmt w:val="decimal"/>
      <w:suff w:val="space"/>
      <w:lvlText w:val="%1."/>
      <w:lvlJc w:val="left"/>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i w:val="0"/>
        <w:sz w:val="24"/>
      </w:rPr>
    </w:lvl>
    <w:lvl w:ilvl="2">
      <w:start w:val="1"/>
      <w:numFmt w:val="decimal"/>
      <w:lvlText w:val="%1.%2.%3."/>
      <w:lvlJc w:val="left"/>
      <w:pPr>
        <w:tabs>
          <w:tab w:val="num" w:pos="1134"/>
        </w:tabs>
        <w:ind w:left="1134" w:hanging="1134"/>
      </w:pPr>
      <w:rPr>
        <w:rFonts w:ascii="Arial" w:hAnsi="Arial" w:cs="Times New Roman" w:hint="default"/>
        <w:b/>
        <w:bCs/>
        <w:sz w:val="24"/>
      </w:rPr>
    </w:lvl>
    <w:lvl w:ilvl="3">
      <w:start w:val="1"/>
      <w:numFmt w:val="decimal"/>
      <w:lvlText w:val="%1.%2.%3.%4."/>
      <w:lvlJc w:val="left"/>
      <w:pPr>
        <w:tabs>
          <w:tab w:val="num" w:pos="2160"/>
        </w:tabs>
        <w:ind w:left="1728" w:hanging="648"/>
      </w:pPr>
      <w:rPr>
        <w:rFonts w:cs="Times New Roman" w:hint="default"/>
        <w:b/>
        <w:bCs/>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E474AA4"/>
    <w:multiLevelType w:val="multilevel"/>
    <w:tmpl w:val="DEFC2C2C"/>
    <w:lvl w:ilvl="0">
      <w:start w:val="1"/>
      <w:numFmt w:val="bullet"/>
      <w:lvlText w:val=""/>
      <w:lvlJc w:val="left"/>
      <w:rPr>
        <w:rFonts w:ascii="Symbol" w:hAnsi="Symbol" w:hint="default"/>
      </w:rPr>
    </w:lvl>
    <w:lvl w:ilvl="1">
      <w:start w:val="1"/>
      <w:numFmt w:val="bullet"/>
      <w:lvlText w:val="o"/>
      <w:lvlJc w:val="left"/>
      <w:rPr>
        <w:rFonts w:ascii="Courier New" w:hAnsi="Courier New" w:hint="default"/>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0"/>
  </w:num>
  <w:num w:numId="9">
    <w:abstractNumId w:val="3"/>
  </w:num>
  <w:num w:numId="10">
    <w:abstractNumId w:val="8"/>
  </w:num>
  <w:num w:numId="11">
    <w:abstractNumId w:val="2"/>
  </w:num>
  <w:num w:numId="12">
    <w:abstractNumId w:val="1"/>
  </w:num>
  <w:num w:numId="13">
    <w:abstractNumId w:val="21"/>
  </w:num>
  <w:num w:numId="14">
    <w:abstractNumId w:val="14"/>
  </w:num>
  <w:num w:numId="15">
    <w:abstractNumId w:val="22"/>
  </w:num>
  <w:num w:numId="16">
    <w:abstractNumId w:val="19"/>
  </w:num>
  <w:num w:numId="17">
    <w:abstractNumId w:val="4"/>
  </w:num>
  <w:num w:numId="18">
    <w:abstractNumId w:val="0"/>
  </w:num>
  <w:num w:numId="19">
    <w:abstractNumId w:val="0"/>
  </w:num>
  <w:num w:numId="20">
    <w:abstractNumId w:val="0"/>
  </w:num>
  <w:num w:numId="21">
    <w:abstractNumId w:val="15"/>
  </w:num>
  <w:num w:numId="22">
    <w:abstractNumId w:val="17"/>
  </w:num>
  <w:num w:numId="23">
    <w:abstractNumId w:val="10"/>
  </w:num>
  <w:num w:numId="24">
    <w:abstractNumId w:val="13"/>
  </w:num>
  <w:num w:numId="25">
    <w:abstractNumId w:val="6"/>
  </w:num>
  <w:num w:numId="26">
    <w:abstractNumId w:val="16"/>
  </w:num>
  <w:num w:numId="27">
    <w:abstractNumId w:val="3"/>
  </w:num>
  <w:num w:numId="28">
    <w:abstractNumId w:val="3"/>
  </w:num>
  <w:num w:numId="29">
    <w:abstractNumId w:val="3"/>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9"/>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3"/>
  </w:num>
  <w:num w:numId="85">
    <w:abstractNumId w:val="0"/>
  </w:num>
  <w:num w:numId="86">
    <w:abstractNumId w:val="0"/>
  </w:num>
  <w:num w:numId="87">
    <w:abstractNumId w:val="20"/>
  </w:num>
  <w:num w:numId="88">
    <w:abstractNumId w:val="12"/>
  </w:num>
  <w:num w:numId="89">
    <w:abstractNumId w:val="11"/>
  </w:num>
  <w:num w:numId="90">
    <w:abstractNumId w:val="5"/>
  </w:num>
  <w:num w:numId="91">
    <w:abstractNumId w:val="7"/>
  </w:num>
  <w:num w:numId="92">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FB7F33"/>
    <w:rsid w:val="000004B1"/>
    <w:rsid w:val="00000B48"/>
    <w:rsid w:val="00002122"/>
    <w:rsid w:val="00004379"/>
    <w:rsid w:val="00006243"/>
    <w:rsid w:val="00006D21"/>
    <w:rsid w:val="00006F4E"/>
    <w:rsid w:val="000076CF"/>
    <w:rsid w:val="00007E87"/>
    <w:rsid w:val="00010CB0"/>
    <w:rsid w:val="000114E8"/>
    <w:rsid w:val="00017104"/>
    <w:rsid w:val="00017E57"/>
    <w:rsid w:val="000214F4"/>
    <w:rsid w:val="00023E99"/>
    <w:rsid w:val="00025EF0"/>
    <w:rsid w:val="000319E4"/>
    <w:rsid w:val="00031E92"/>
    <w:rsid w:val="0003245F"/>
    <w:rsid w:val="00033496"/>
    <w:rsid w:val="00041A42"/>
    <w:rsid w:val="000462CB"/>
    <w:rsid w:val="000466AC"/>
    <w:rsid w:val="00047417"/>
    <w:rsid w:val="000477AF"/>
    <w:rsid w:val="0005081D"/>
    <w:rsid w:val="00051F0F"/>
    <w:rsid w:val="00053209"/>
    <w:rsid w:val="00056C18"/>
    <w:rsid w:val="00060F4B"/>
    <w:rsid w:val="00061988"/>
    <w:rsid w:val="00064E4D"/>
    <w:rsid w:val="00071F25"/>
    <w:rsid w:val="00072040"/>
    <w:rsid w:val="000751DE"/>
    <w:rsid w:val="00075E9C"/>
    <w:rsid w:val="000805BF"/>
    <w:rsid w:val="00080B66"/>
    <w:rsid w:val="00086607"/>
    <w:rsid w:val="00087797"/>
    <w:rsid w:val="00087BBE"/>
    <w:rsid w:val="00090438"/>
    <w:rsid w:val="00093A34"/>
    <w:rsid w:val="00093AD5"/>
    <w:rsid w:val="00093C2D"/>
    <w:rsid w:val="000A0086"/>
    <w:rsid w:val="000A00B3"/>
    <w:rsid w:val="000A1F08"/>
    <w:rsid w:val="000A6227"/>
    <w:rsid w:val="000B2CD6"/>
    <w:rsid w:val="000B3EED"/>
    <w:rsid w:val="000B434F"/>
    <w:rsid w:val="000B778B"/>
    <w:rsid w:val="000C10FC"/>
    <w:rsid w:val="000C21F5"/>
    <w:rsid w:val="000C4117"/>
    <w:rsid w:val="000C46CC"/>
    <w:rsid w:val="000C7BFB"/>
    <w:rsid w:val="000D125D"/>
    <w:rsid w:val="000D3866"/>
    <w:rsid w:val="000D7C27"/>
    <w:rsid w:val="000E120D"/>
    <w:rsid w:val="000E2611"/>
    <w:rsid w:val="000E43A4"/>
    <w:rsid w:val="000E46D7"/>
    <w:rsid w:val="000E557F"/>
    <w:rsid w:val="000F33DE"/>
    <w:rsid w:val="000F6646"/>
    <w:rsid w:val="00103B1A"/>
    <w:rsid w:val="001054E8"/>
    <w:rsid w:val="00106123"/>
    <w:rsid w:val="00110842"/>
    <w:rsid w:val="00111A3C"/>
    <w:rsid w:val="00114E4E"/>
    <w:rsid w:val="00115B0D"/>
    <w:rsid w:val="0011693A"/>
    <w:rsid w:val="00121468"/>
    <w:rsid w:val="001247DE"/>
    <w:rsid w:val="00125924"/>
    <w:rsid w:val="00126556"/>
    <w:rsid w:val="00130D2B"/>
    <w:rsid w:val="001314AB"/>
    <w:rsid w:val="00131684"/>
    <w:rsid w:val="00131E03"/>
    <w:rsid w:val="00137427"/>
    <w:rsid w:val="00143086"/>
    <w:rsid w:val="00143387"/>
    <w:rsid w:val="0014480D"/>
    <w:rsid w:val="00150088"/>
    <w:rsid w:val="0015258E"/>
    <w:rsid w:val="001535AD"/>
    <w:rsid w:val="00156DAC"/>
    <w:rsid w:val="001632CA"/>
    <w:rsid w:val="00163E83"/>
    <w:rsid w:val="00165A51"/>
    <w:rsid w:val="0016759E"/>
    <w:rsid w:val="00167F8B"/>
    <w:rsid w:val="00170898"/>
    <w:rsid w:val="00173F3C"/>
    <w:rsid w:val="001773DB"/>
    <w:rsid w:val="0018523D"/>
    <w:rsid w:val="00185F75"/>
    <w:rsid w:val="0018689A"/>
    <w:rsid w:val="0019156D"/>
    <w:rsid w:val="00192728"/>
    <w:rsid w:val="001B0C9E"/>
    <w:rsid w:val="001B10B0"/>
    <w:rsid w:val="001B42EA"/>
    <w:rsid w:val="001C2DE1"/>
    <w:rsid w:val="001C57FE"/>
    <w:rsid w:val="001C6826"/>
    <w:rsid w:val="001D21B9"/>
    <w:rsid w:val="001D307B"/>
    <w:rsid w:val="001D76E0"/>
    <w:rsid w:val="001E001D"/>
    <w:rsid w:val="001E03DE"/>
    <w:rsid w:val="001E2F49"/>
    <w:rsid w:val="001E53A4"/>
    <w:rsid w:val="001F36DC"/>
    <w:rsid w:val="001F654F"/>
    <w:rsid w:val="001F702A"/>
    <w:rsid w:val="00204D0B"/>
    <w:rsid w:val="00206FB5"/>
    <w:rsid w:val="002072AD"/>
    <w:rsid w:val="00207924"/>
    <w:rsid w:val="00211631"/>
    <w:rsid w:val="00212FE7"/>
    <w:rsid w:val="002150D2"/>
    <w:rsid w:val="00217ADD"/>
    <w:rsid w:val="00220CD0"/>
    <w:rsid w:val="00221EF8"/>
    <w:rsid w:val="00226BE5"/>
    <w:rsid w:val="002360D5"/>
    <w:rsid w:val="0024682E"/>
    <w:rsid w:val="00250F4C"/>
    <w:rsid w:val="00251FE2"/>
    <w:rsid w:val="00254804"/>
    <w:rsid w:val="002560F3"/>
    <w:rsid w:val="00256CAB"/>
    <w:rsid w:val="00257218"/>
    <w:rsid w:val="00263540"/>
    <w:rsid w:val="00263BAB"/>
    <w:rsid w:val="00263FD0"/>
    <w:rsid w:val="00264402"/>
    <w:rsid w:val="0026499C"/>
    <w:rsid w:val="00266403"/>
    <w:rsid w:val="00266F7A"/>
    <w:rsid w:val="00270E0A"/>
    <w:rsid w:val="00271284"/>
    <w:rsid w:val="00273575"/>
    <w:rsid w:val="00281546"/>
    <w:rsid w:val="00282031"/>
    <w:rsid w:val="00290125"/>
    <w:rsid w:val="00297C93"/>
    <w:rsid w:val="002A0EC0"/>
    <w:rsid w:val="002A1645"/>
    <w:rsid w:val="002A232D"/>
    <w:rsid w:val="002A30BC"/>
    <w:rsid w:val="002A79C2"/>
    <w:rsid w:val="002B56A3"/>
    <w:rsid w:val="002B7F5C"/>
    <w:rsid w:val="002C53C3"/>
    <w:rsid w:val="002C64DB"/>
    <w:rsid w:val="002C65EA"/>
    <w:rsid w:val="002C745C"/>
    <w:rsid w:val="002D0FAA"/>
    <w:rsid w:val="002D2E63"/>
    <w:rsid w:val="002D3174"/>
    <w:rsid w:val="002D693D"/>
    <w:rsid w:val="002E2231"/>
    <w:rsid w:val="002E247A"/>
    <w:rsid w:val="002E5EC2"/>
    <w:rsid w:val="002E65EB"/>
    <w:rsid w:val="002F1545"/>
    <w:rsid w:val="002F3497"/>
    <w:rsid w:val="002F3777"/>
    <w:rsid w:val="002F4F68"/>
    <w:rsid w:val="002F7977"/>
    <w:rsid w:val="00305845"/>
    <w:rsid w:val="003062A7"/>
    <w:rsid w:val="00306B19"/>
    <w:rsid w:val="00312BBD"/>
    <w:rsid w:val="00320BCA"/>
    <w:rsid w:val="00320F80"/>
    <w:rsid w:val="003229BD"/>
    <w:rsid w:val="00322B4C"/>
    <w:rsid w:val="00324D8D"/>
    <w:rsid w:val="0032718F"/>
    <w:rsid w:val="00330CD1"/>
    <w:rsid w:val="00330FAC"/>
    <w:rsid w:val="0033146C"/>
    <w:rsid w:val="0033346F"/>
    <w:rsid w:val="003343B0"/>
    <w:rsid w:val="003435B2"/>
    <w:rsid w:val="00344C9E"/>
    <w:rsid w:val="003461E9"/>
    <w:rsid w:val="003517C1"/>
    <w:rsid w:val="003531A7"/>
    <w:rsid w:val="003554DD"/>
    <w:rsid w:val="00364753"/>
    <w:rsid w:val="00365A7B"/>
    <w:rsid w:val="00366758"/>
    <w:rsid w:val="003713B5"/>
    <w:rsid w:val="003767A9"/>
    <w:rsid w:val="0038153B"/>
    <w:rsid w:val="003825C8"/>
    <w:rsid w:val="00382AC9"/>
    <w:rsid w:val="00392254"/>
    <w:rsid w:val="00394B11"/>
    <w:rsid w:val="00396D53"/>
    <w:rsid w:val="00397A0E"/>
    <w:rsid w:val="003A21B9"/>
    <w:rsid w:val="003A41C1"/>
    <w:rsid w:val="003A5334"/>
    <w:rsid w:val="003B015E"/>
    <w:rsid w:val="003B1F6A"/>
    <w:rsid w:val="003B6115"/>
    <w:rsid w:val="003C0080"/>
    <w:rsid w:val="003C0DD8"/>
    <w:rsid w:val="003C2837"/>
    <w:rsid w:val="003D0C6E"/>
    <w:rsid w:val="003D0E83"/>
    <w:rsid w:val="003D2038"/>
    <w:rsid w:val="003E3050"/>
    <w:rsid w:val="003E35CB"/>
    <w:rsid w:val="003E791F"/>
    <w:rsid w:val="003F06A5"/>
    <w:rsid w:val="003F32BD"/>
    <w:rsid w:val="003F630B"/>
    <w:rsid w:val="003F68E1"/>
    <w:rsid w:val="004052A5"/>
    <w:rsid w:val="00407A83"/>
    <w:rsid w:val="00410330"/>
    <w:rsid w:val="0041282E"/>
    <w:rsid w:val="0041332D"/>
    <w:rsid w:val="004135E8"/>
    <w:rsid w:val="004221DB"/>
    <w:rsid w:val="00422243"/>
    <w:rsid w:val="0042446D"/>
    <w:rsid w:val="004251D4"/>
    <w:rsid w:val="00425394"/>
    <w:rsid w:val="00432D8A"/>
    <w:rsid w:val="00436150"/>
    <w:rsid w:val="004372DC"/>
    <w:rsid w:val="0044112D"/>
    <w:rsid w:val="004416E2"/>
    <w:rsid w:val="00442FB3"/>
    <w:rsid w:val="00444443"/>
    <w:rsid w:val="00445CF3"/>
    <w:rsid w:val="004550CA"/>
    <w:rsid w:val="00460037"/>
    <w:rsid w:val="00460DC0"/>
    <w:rsid w:val="0046313C"/>
    <w:rsid w:val="00466B2F"/>
    <w:rsid w:val="004671CF"/>
    <w:rsid w:val="00467339"/>
    <w:rsid w:val="004674B9"/>
    <w:rsid w:val="00470D13"/>
    <w:rsid w:val="004719C0"/>
    <w:rsid w:val="00473CCC"/>
    <w:rsid w:val="00474ABE"/>
    <w:rsid w:val="004758F4"/>
    <w:rsid w:val="00477DE6"/>
    <w:rsid w:val="00493E36"/>
    <w:rsid w:val="004955C7"/>
    <w:rsid w:val="004A1CF3"/>
    <w:rsid w:val="004A3ECF"/>
    <w:rsid w:val="004A415B"/>
    <w:rsid w:val="004A4BED"/>
    <w:rsid w:val="004B047B"/>
    <w:rsid w:val="004B0E4B"/>
    <w:rsid w:val="004B4105"/>
    <w:rsid w:val="004B6011"/>
    <w:rsid w:val="004B6296"/>
    <w:rsid w:val="004B711D"/>
    <w:rsid w:val="004C0CE2"/>
    <w:rsid w:val="004C1286"/>
    <w:rsid w:val="004C1407"/>
    <w:rsid w:val="004C2F5A"/>
    <w:rsid w:val="004D0E06"/>
    <w:rsid w:val="004D1CAD"/>
    <w:rsid w:val="004D207C"/>
    <w:rsid w:val="004D3B6D"/>
    <w:rsid w:val="004D518B"/>
    <w:rsid w:val="004D54A9"/>
    <w:rsid w:val="004D554F"/>
    <w:rsid w:val="004E793B"/>
    <w:rsid w:val="004F0E4C"/>
    <w:rsid w:val="004F17F1"/>
    <w:rsid w:val="004F4D5A"/>
    <w:rsid w:val="004F52A9"/>
    <w:rsid w:val="004F7420"/>
    <w:rsid w:val="00503EB1"/>
    <w:rsid w:val="0050421E"/>
    <w:rsid w:val="00504650"/>
    <w:rsid w:val="0050567B"/>
    <w:rsid w:val="00507A12"/>
    <w:rsid w:val="00510E8C"/>
    <w:rsid w:val="00511C6D"/>
    <w:rsid w:val="00513AE9"/>
    <w:rsid w:val="005150C2"/>
    <w:rsid w:val="0051567C"/>
    <w:rsid w:val="005159EA"/>
    <w:rsid w:val="005245E6"/>
    <w:rsid w:val="00524B66"/>
    <w:rsid w:val="00525758"/>
    <w:rsid w:val="0052668B"/>
    <w:rsid w:val="00526D1F"/>
    <w:rsid w:val="00530C22"/>
    <w:rsid w:val="00533B49"/>
    <w:rsid w:val="005345A0"/>
    <w:rsid w:val="005365B7"/>
    <w:rsid w:val="00540430"/>
    <w:rsid w:val="005415B1"/>
    <w:rsid w:val="00543DB2"/>
    <w:rsid w:val="0054680C"/>
    <w:rsid w:val="00546D94"/>
    <w:rsid w:val="005472B7"/>
    <w:rsid w:val="00547A61"/>
    <w:rsid w:val="00550986"/>
    <w:rsid w:val="005537EC"/>
    <w:rsid w:val="00554078"/>
    <w:rsid w:val="00557391"/>
    <w:rsid w:val="0056158E"/>
    <w:rsid w:val="00562515"/>
    <w:rsid w:val="0056775F"/>
    <w:rsid w:val="00567D9E"/>
    <w:rsid w:val="0057131C"/>
    <w:rsid w:val="00572CA2"/>
    <w:rsid w:val="00573DEC"/>
    <w:rsid w:val="00574927"/>
    <w:rsid w:val="00580919"/>
    <w:rsid w:val="00584840"/>
    <w:rsid w:val="0058594C"/>
    <w:rsid w:val="00596B74"/>
    <w:rsid w:val="005A07D3"/>
    <w:rsid w:val="005A7BD8"/>
    <w:rsid w:val="005B099C"/>
    <w:rsid w:val="005B2A63"/>
    <w:rsid w:val="005C21E4"/>
    <w:rsid w:val="005C2D73"/>
    <w:rsid w:val="005C50B3"/>
    <w:rsid w:val="005C5380"/>
    <w:rsid w:val="005C53F2"/>
    <w:rsid w:val="005C73E5"/>
    <w:rsid w:val="005C799B"/>
    <w:rsid w:val="005C7BA8"/>
    <w:rsid w:val="005D042F"/>
    <w:rsid w:val="005D1164"/>
    <w:rsid w:val="005D420A"/>
    <w:rsid w:val="005E121E"/>
    <w:rsid w:val="005E212F"/>
    <w:rsid w:val="005E2E1A"/>
    <w:rsid w:val="005F00D2"/>
    <w:rsid w:val="005F0C1F"/>
    <w:rsid w:val="005F68D2"/>
    <w:rsid w:val="006027BD"/>
    <w:rsid w:val="006056E9"/>
    <w:rsid w:val="00606A6C"/>
    <w:rsid w:val="00612D2C"/>
    <w:rsid w:val="0061660B"/>
    <w:rsid w:val="00617517"/>
    <w:rsid w:val="0062359F"/>
    <w:rsid w:val="00626C0F"/>
    <w:rsid w:val="00626EDF"/>
    <w:rsid w:val="00632480"/>
    <w:rsid w:val="00632B81"/>
    <w:rsid w:val="006341BB"/>
    <w:rsid w:val="006361D2"/>
    <w:rsid w:val="00640A0D"/>
    <w:rsid w:val="00642677"/>
    <w:rsid w:val="00643350"/>
    <w:rsid w:val="006449C3"/>
    <w:rsid w:val="00644F4C"/>
    <w:rsid w:val="0064590B"/>
    <w:rsid w:val="00645DA1"/>
    <w:rsid w:val="00645F90"/>
    <w:rsid w:val="00647F12"/>
    <w:rsid w:val="00650813"/>
    <w:rsid w:val="00652F69"/>
    <w:rsid w:val="00656806"/>
    <w:rsid w:val="00657D2D"/>
    <w:rsid w:val="006602C8"/>
    <w:rsid w:val="006677F7"/>
    <w:rsid w:val="00671BB2"/>
    <w:rsid w:val="00671BEB"/>
    <w:rsid w:val="006731B0"/>
    <w:rsid w:val="00674F0E"/>
    <w:rsid w:val="00680390"/>
    <w:rsid w:val="0068409C"/>
    <w:rsid w:val="00690484"/>
    <w:rsid w:val="00690FF0"/>
    <w:rsid w:val="00691453"/>
    <w:rsid w:val="00691A07"/>
    <w:rsid w:val="00692A01"/>
    <w:rsid w:val="0069451B"/>
    <w:rsid w:val="006954E2"/>
    <w:rsid w:val="00696401"/>
    <w:rsid w:val="006A127B"/>
    <w:rsid w:val="006A1E89"/>
    <w:rsid w:val="006A53CF"/>
    <w:rsid w:val="006A67B4"/>
    <w:rsid w:val="006B0EBC"/>
    <w:rsid w:val="006B7162"/>
    <w:rsid w:val="006C28E9"/>
    <w:rsid w:val="006D147C"/>
    <w:rsid w:val="006D4E3A"/>
    <w:rsid w:val="006D4E4C"/>
    <w:rsid w:val="006D5F02"/>
    <w:rsid w:val="006D6477"/>
    <w:rsid w:val="006D7743"/>
    <w:rsid w:val="006E17EE"/>
    <w:rsid w:val="006E4DC5"/>
    <w:rsid w:val="006E633B"/>
    <w:rsid w:val="006E785D"/>
    <w:rsid w:val="006F0721"/>
    <w:rsid w:val="006F1D0A"/>
    <w:rsid w:val="006F543C"/>
    <w:rsid w:val="00702252"/>
    <w:rsid w:val="00704AC3"/>
    <w:rsid w:val="00712C23"/>
    <w:rsid w:val="00714648"/>
    <w:rsid w:val="00715247"/>
    <w:rsid w:val="007152C4"/>
    <w:rsid w:val="00716284"/>
    <w:rsid w:val="007228A4"/>
    <w:rsid w:val="00722E2B"/>
    <w:rsid w:val="007268B9"/>
    <w:rsid w:val="00727AF2"/>
    <w:rsid w:val="00730D0F"/>
    <w:rsid w:val="0073510E"/>
    <w:rsid w:val="00735F25"/>
    <w:rsid w:val="007361A9"/>
    <w:rsid w:val="00740A8E"/>
    <w:rsid w:val="00744260"/>
    <w:rsid w:val="007443CF"/>
    <w:rsid w:val="00747A17"/>
    <w:rsid w:val="00751204"/>
    <w:rsid w:val="0075158B"/>
    <w:rsid w:val="00761F52"/>
    <w:rsid w:val="00763AAD"/>
    <w:rsid w:val="00764635"/>
    <w:rsid w:val="007652D2"/>
    <w:rsid w:val="00765417"/>
    <w:rsid w:val="00772E08"/>
    <w:rsid w:val="00773710"/>
    <w:rsid w:val="00781322"/>
    <w:rsid w:val="00782386"/>
    <w:rsid w:val="0078337B"/>
    <w:rsid w:val="00783B2B"/>
    <w:rsid w:val="00786EDD"/>
    <w:rsid w:val="00790660"/>
    <w:rsid w:val="007915B2"/>
    <w:rsid w:val="00792384"/>
    <w:rsid w:val="007924BF"/>
    <w:rsid w:val="007B0182"/>
    <w:rsid w:val="007B129A"/>
    <w:rsid w:val="007B4BC3"/>
    <w:rsid w:val="007C3C08"/>
    <w:rsid w:val="007C51F3"/>
    <w:rsid w:val="007D02E5"/>
    <w:rsid w:val="007D0729"/>
    <w:rsid w:val="007D5000"/>
    <w:rsid w:val="007D6899"/>
    <w:rsid w:val="007D6A64"/>
    <w:rsid w:val="007D6B79"/>
    <w:rsid w:val="007D75FD"/>
    <w:rsid w:val="007E04DA"/>
    <w:rsid w:val="007E17C7"/>
    <w:rsid w:val="007E194D"/>
    <w:rsid w:val="007E6012"/>
    <w:rsid w:val="007F0331"/>
    <w:rsid w:val="007F2039"/>
    <w:rsid w:val="007F3DF5"/>
    <w:rsid w:val="007F641A"/>
    <w:rsid w:val="007F7DCE"/>
    <w:rsid w:val="00801616"/>
    <w:rsid w:val="00801A10"/>
    <w:rsid w:val="008024F2"/>
    <w:rsid w:val="00802666"/>
    <w:rsid w:val="008068DB"/>
    <w:rsid w:val="00810F17"/>
    <w:rsid w:val="008122F4"/>
    <w:rsid w:val="008152EC"/>
    <w:rsid w:val="008168B5"/>
    <w:rsid w:val="00817D9F"/>
    <w:rsid w:val="00821A09"/>
    <w:rsid w:val="00821A8A"/>
    <w:rsid w:val="00823A06"/>
    <w:rsid w:val="008277C4"/>
    <w:rsid w:val="00830570"/>
    <w:rsid w:val="008317DD"/>
    <w:rsid w:val="008322CB"/>
    <w:rsid w:val="008347BD"/>
    <w:rsid w:val="0083524B"/>
    <w:rsid w:val="008359A3"/>
    <w:rsid w:val="0083666F"/>
    <w:rsid w:val="0084419B"/>
    <w:rsid w:val="008441A0"/>
    <w:rsid w:val="00844B76"/>
    <w:rsid w:val="00845F9A"/>
    <w:rsid w:val="00850476"/>
    <w:rsid w:val="00853093"/>
    <w:rsid w:val="008538C0"/>
    <w:rsid w:val="00855D7B"/>
    <w:rsid w:val="00856D65"/>
    <w:rsid w:val="00864887"/>
    <w:rsid w:val="00870DB5"/>
    <w:rsid w:val="00871951"/>
    <w:rsid w:val="00871BBB"/>
    <w:rsid w:val="00872CCE"/>
    <w:rsid w:val="00873AA6"/>
    <w:rsid w:val="00880517"/>
    <w:rsid w:val="00881444"/>
    <w:rsid w:val="00883CD9"/>
    <w:rsid w:val="0088431F"/>
    <w:rsid w:val="0088687C"/>
    <w:rsid w:val="00887C74"/>
    <w:rsid w:val="00887CE7"/>
    <w:rsid w:val="00887F2B"/>
    <w:rsid w:val="00890368"/>
    <w:rsid w:val="0089340C"/>
    <w:rsid w:val="008951B9"/>
    <w:rsid w:val="008956C8"/>
    <w:rsid w:val="00895B4C"/>
    <w:rsid w:val="008A0B32"/>
    <w:rsid w:val="008A0E9E"/>
    <w:rsid w:val="008A2181"/>
    <w:rsid w:val="008A736D"/>
    <w:rsid w:val="008B0681"/>
    <w:rsid w:val="008B43BB"/>
    <w:rsid w:val="008B7162"/>
    <w:rsid w:val="008D03D5"/>
    <w:rsid w:val="008D67F5"/>
    <w:rsid w:val="008E1C97"/>
    <w:rsid w:val="008E298F"/>
    <w:rsid w:val="008E5E68"/>
    <w:rsid w:val="008E6DAE"/>
    <w:rsid w:val="008F0345"/>
    <w:rsid w:val="008F13F1"/>
    <w:rsid w:val="00904BF3"/>
    <w:rsid w:val="00906E7C"/>
    <w:rsid w:val="0091078F"/>
    <w:rsid w:val="00910EAF"/>
    <w:rsid w:val="009127BC"/>
    <w:rsid w:val="009128E4"/>
    <w:rsid w:val="00913238"/>
    <w:rsid w:val="00920307"/>
    <w:rsid w:val="00922DDB"/>
    <w:rsid w:val="00930C9A"/>
    <w:rsid w:val="00932B89"/>
    <w:rsid w:val="00941B2B"/>
    <w:rsid w:val="009432CD"/>
    <w:rsid w:val="009436EB"/>
    <w:rsid w:val="009442F5"/>
    <w:rsid w:val="00950AFA"/>
    <w:rsid w:val="00957B3A"/>
    <w:rsid w:val="00980118"/>
    <w:rsid w:val="00980853"/>
    <w:rsid w:val="00981552"/>
    <w:rsid w:val="00981CA8"/>
    <w:rsid w:val="00984F74"/>
    <w:rsid w:val="00991FA4"/>
    <w:rsid w:val="0099355D"/>
    <w:rsid w:val="00993E50"/>
    <w:rsid w:val="00995657"/>
    <w:rsid w:val="00995939"/>
    <w:rsid w:val="00997666"/>
    <w:rsid w:val="009A369B"/>
    <w:rsid w:val="009A468C"/>
    <w:rsid w:val="009A7D1F"/>
    <w:rsid w:val="009B4007"/>
    <w:rsid w:val="009B6B56"/>
    <w:rsid w:val="009C0489"/>
    <w:rsid w:val="009C0AB9"/>
    <w:rsid w:val="009C1E43"/>
    <w:rsid w:val="009C2E91"/>
    <w:rsid w:val="009C3303"/>
    <w:rsid w:val="009C5871"/>
    <w:rsid w:val="009C6B87"/>
    <w:rsid w:val="009D1E04"/>
    <w:rsid w:val="009E1948"/>
    <w:rsid w:val="009E6928"/>
    <w:rsid w:val="009F0A27"/>
    <w:rsid w:val="009F6694"/>
    <w:rsid w:val="00A01F05"/>
    <w:rsid w:val="00A02142"/>
    <w:rsid w:val="00A0457F"/>
    <w:rsid w:val="00A05755"/>
    <w:rsid w:val="00A05C59"/>
    <w:rsid w:val="00A07118"/>
    <w:rsid w:val="00A07342"/>
    <w:rsid w:val="00A07D62"/>
    <w:rsid w:val="00A22AE7"/>
    <w:rsid w:val="00A2661B"/>
    <w:rsid w:val="00A26904"/>
    <w:rsid w:val="00A30318"/>
    <w:rsid w:val="00A3098A"/>
    <w:rsid w:val="00A35DD3"/>
    <w:rsid w:val="00A409B5"/>
    <w:rsid w:val="00A4123A"/>
    <w:rsid w:val="00A4708A"/>
    <w:rsid w:val="00A50FA8"/>
    <w:rsid w:val="00A517BC"/>
    <w:rsid w:val="00A525E9"/>
    <w:rsid w:val="00A5583F"/>
    <w:rsid w:val="00A60AC3"/>
    <w:rsid w:val="00A663DA"/>
    <w:rsid w:val="00A6749E"/>
    <w:rsid w:val="00A71426"/>
    <w:rsid w:val="00A7285A"/>
    <w:rsid w:val="00A74008"/>
    <w:rsid w:val="00A746D0"/>
    <w:rsid w:val="00A75A96"/>
    <w:rsid w:val="00A819C5"/>
    <w:rsid w:val="00A86532"/>
    <w:rsid w:val="00A87459"/>
    <w:rsid w:val="00A9009A"/>
    <w:rsid w:val="00A90D7B"/>
    <w:rsid w:val="00A92775"/>
    <w:rsid w:val="00A93C85"/>
    <w:rsid w:val="00A95162"/>
    <w:rsid w:val="00AA1F69"/>
    <w:rsid w:val="00AA543F"/>
    <w:rsid w:val="00AA69AC"/>
    <w:rsid w:val="00AA7DA2"/>
    <w:rsid w:val="00AB5C42"/>
    <w:rsid w:val="00AB5D9B"/>
    <w:rsid w:val="00AB6C23"/>
    <w:rsid w:val="00AB7981"/>
    <w:rsid w:val="00AB7D90"/>
    <w:rsid w:val="00AB7FB1"/>
    <w:rsid w:val="00AC3460"/>
    <w:rsid w:val="00AC4FE1"/>
    <w:rsid w:val="00AC5C1E"/>
    <w:rsid w:val="00AC668A"/>
    <w:rsid w:val="00AD47E0"/>
    <w:rsid w:val="00AD78E6"/>
    <w:rsid w:val="00AE117E"/>
    <w:rsid w:val="00AE7BBD"/>
    <w:rsid w:val="00AF04CC"/>
    <w:rsid w:val="00AF41AD"/>
    <w:rsid w:val="00AF4BCE"/>
    <w:rsid w:val="00AF62F1"/>
    <w:rsid w:val="00AF7112"/>
    <w:rsid w:val="00B05BA7"/>
    <w:rsid w:val="00B120C6"/>
    <w:rsid w:val="00B1232B"/>
    <w:rsid w:val="00B141A1"/>
    <w:rsid w:val="00B141C2"/>
    <w:rsid w:val="00B32088"/>
    <w:rsid w:val="00B32ACC"/>
    <w:rsid w:val="00B34E57"/>
    <w:rsid w:val="00B358E4"/>
    <w:rsid w:val="00B379E1"/>
    <w:rsid w:val="00B41876"/>
    <w:rsid w:val="00B42F2C"/>
    <w:rsid w:val="00B468B4"/>
    <w:rsid w:val="00B50213"/>
    <w:rsid w:val="00B5198F"/>
    <w:rsid w:val="00B53315"/>
    <w:rsid w:val="00B55E57"/>
    <w:rsid w:val="00B57985"/>
    <w:rsid w:val="00B57FC6"/>
    <w:rsid w:val="00B62708"/>
    <w:rsid w:val="00B63125"/>
    <w:rsid w:val="00B6397C"/>
    <w:rsid w:val="00B6456C"/>
    <w:rsid w:val="00B646CB"/>
    <w:rsid w:val="00B66267"/>
    <w:rsid w:val="00B72D2C"/>
    <w:rsid w:val="00B75195"/>
    <w:rsid w:val="00B76C68"/>
    <w:rsid w:val="00B7764D"/>
    <w:rsid w:val="00B8346C"/>
    <w:rsid w:val="00B834E4"/>
    <w:rsid w:val="00B85D7F"/>
    <w:rsid w:val="00B97224"/>
    <w:rsid w:val="00BA45C8"/>
    <w:rsid w:val="00BA7F43"/>
    <w:rsid w:val="00BB0E71"/>
    <w:rsid w:val="00BB31DE"/>
    <w:rsid w:val="00BB3573"/>
    <w:rsid w:val="00BB36F0"/>
    <w:rsid w:val="00BB5523"/>
    <w:rsid w:val="00BC03F9"/>
    <w:rsid w:val="00BC11C6"/>
    <w:rsid w:val="00BC2093"/>
    <w:rsid w:val="00BC2D31"/>
    <w:rsid w:val="00BC66D9"/>
    <w:rsid w:val="00BC71C3"/>
    <w:rsid w:val="00BC7563"/>
    <w:rsid w:val="00BC7F08"/>
    <w:rsid w:val="00BD1E2B"/>
    <w:rsid w:val="00BD7649"/>
    <w:rsid w:val="00BE190F"/>
    <w:rsid w:val="00BE6B4F"/>
    <w:rsid w:val="00BF6F21"/>
    <w:rsid w:val="00BF7616"/>
    <w:rsid w:val="00C0144B"/>
    <w:rsid w:val="00C04EF4"/>
    <w:rsid w:val="00C071B1"/>
    <w:rsid w:val="00C13609"/>
    <w:rsid w:val="00C174FC"/>
    <w:rsid w:val="00C17550"/>
    <w:rsid w:val="00C176CF"/>
    <w:rsid w:val="00C177B5"/>
    <w:rsid w:val="00C17C01"/>
    <w:rsid w:val="00C205D9"/>
    <w:rsid w:val="00C22E1E"/>
    <w:rsid w:val="00C2592D"/>
    <w:rsid w:val="00C264DC"/>
    <w:rsid w:val="00C27F1F"/>
    <w:rsid w:val="00C27F7D"/>
    <w:rsid w:val="00C30592"/>
    <w:rsid w:val="00C3132F"/>
    <w:rsid w:val="00C32EE6"/>
    <w:rsid w:val="00C34B5C"/>
    <w:rsid w:val="00C37E3E"/>
    <w:rsid w:val="00C40FC3"/>
    <w:rsid w:val="00C42541"/>
    <w:rsid w:val="00C4310C"/>
    <w:rsid w:val="00C5586F"/>
    <w:rsid w:val="00C57785"/>
    <w:rsid w:val="00C621B4"/>
    <w:rsid w:val="00C6299B"/>
    <w:rsid w:val="00C62ED8"/>
    <w:rsid w:val="00C64F31"/>
    <w:rsid w:val="00C67ABD"/>
    <w:rsid w:val="00C67B43"/>
    <w:rsid w:val="00C70C3B"/>
    <w:rsid w:val="00C76204"/>
    <w:rsid w:val="00C77677"/>
    <w:rsid w:val="00C81154"/>
    <w:rsid w:val="00C84376"/>
    <w:rsid w:val="00C9032C"/>
    <w:rsid w:val="00C9056B"/>
    <w:rsid w:val="00C9446D"/>
    <w:rsid w:val="00C945F6"/>
    <w:rsid w:val="00CA009A"/>
    <w:rsid w:val="00CA0E48"/>
    <w:rsid w:val="00CA29D5"/>
    <w:rsid w:val="00CA695E"/>
    <w:rsid w:val="00CA7419"/>
    <w:rsid w:val="00CA78FD"/>
    <w:rsid w:val="00CB03F4"/>
    <w:rsid w:val="00CB247B"/>
    <w:rsid w:val="00CB2FCA"/>
    <w:rsid w:val="00CB5809"/>
    <w:rsid w:val="00CB5CFE"/>
    <w:rsid w:val="00CC1054"/>
    <w:rsid w:val="00CC19E8"/>
    <w:rsid w:val="00CC486C"/>
    <w:rsid w:val="00CC5BD7"/>
    <w:rsid w:val="00CD03F5"/>
    <w:rsid w:val="00CD2C78"/>
    <w:rsid w:val="00CD2CAD"/>
    <w:rsid w:val="00CD6F6E"/>
    <w:rsid w:val="00CE0125"/>
    <w:rsid w:val="00CE089A"/>
    <w:rsid w:val="00CE0DE3"/>
    <w:rsid w:val="00CF03FF"/>
    <w:rsid w:val="00CF2373"/>
    <w:rsid w:val="00CF413E"/>
    <w:rsid w:val="00CF6446"/>
    <w:rsid w:val="00D0095D"/>
    <w:rsid w:val="00D01D9D"/>
    <w:rsid w:val="00D02E48"/>
    <w:rsid w:val="00D0694F"/>
    <w:rsid w:val="00D06A12"/>
    <w:rsid w:val="00D205AD"/>
    <w:rsid w:val="00D21EFE"/>
    <w:rsid w:val="00D22A07"/>
    <w:rsid w:val="00D25E48"/>
    <w:rsid w:val="00D261D6"/>
    <w:rsid w:val="00D31F86"/>
    <w:rsid w:val="00D33604"/>
    <w:rsid w:val="00D3723F"/>
    <w:rsid w:val="00D44D6B"/>
    <w:rsid w:val="00D458B0"/>
    <w:rsid w:val="00D5100A"/>
    <w:rsid w:val="00D53179"/>
    <w:rsid w:val="00D54AAB"/>
    <w:rsid w:val="00D65853"/>
    <w:rsid w:val="00D711C1"/>
    <w:rsid w:val="00D74545"/>
    <w:rsid w:val="00D77DB8"/>
    <w:rsid w:val="00D82EB6"/>
    <w:rsid w:val="00D84FD6"/>
    <w:rsid w:val="00D85E0B"/>
    <w:rsid w:val="00D8608B"/>
    <w:rsid w:val="00D93397"/>
    <w:rsid w:val="00D93717"/>
    <w:rsid w:val="00D9453C"/>
    <w:rsid w:val="00D946D4"/>
    <w:rsid w:val="00D9682E"/>
    <w:rsid w:val="00DA1E34"/>
    <w:rsid w:val="00DB1F4E"/>
    <w:rsid w:val="00DB289F"/>
    <w:rsid w:val="00DB352D"/>
    <w:rsid w:val="00DB6223"/>
    <w:rsid w:val="00DC06E1"/>
    <w:rsid w:val="00DC4D22"/>
    <w:rsid w:val="00DD0321"/>
    <w:rsid w:val="00DD1378"/>
    <w:rsid w:val="00DD5391"/>
    <w:rsid w:val="00DD66FB"/>
    <w:rsid w:val="00DE49A4"/>
    <w:rsid w:val="00DE51F7"/>
    <w:rsid w:val="00DE5254"/>
    <w:rsid w:val="00DE53FC"/>
    <w:rsid w:val="00DF1F4E"/>
    <w:rsid w:val="00DF1FBE"/>
    <w:rsid w:val="00DF24DD"/>
    <w:rsid w:val="00DF411D"/>
    <w:rsid w:val="00E03D09"/>
    <w:rsid w:val="00E03D46"/>
    <w:rsid w:val="00E053C1"/>
    <w:rsid w:val="00E07221"/>
    <w:rsid w:val="00E108A6"/>
    <w:rsid w:val="00E11B57"/>
    <w:rsid w:val="00E149E4"/>
    <w:rsid w:val="00E16570"/>
    <w:rsid w:val="00E24019"/>
    <w:rsid w:val="00E24AF3"/>
    <w:rsid w:val="00E30033"/>
    <w:rsid w:val="00E309ED"/>
    <w:rsid w:val="00E31D3D"/>
    <w:rsid w:val="00E351F1"/>
    <w:rsid w:val="00E360F8"/>
    <w:rsid w:val="00E4081D"/>
    <w:rsid w:val="00E41979"/>
    <w:rsid w:val="00E4197E"/>
    <w:rsid w:val="00E4341E"/>
    <w:rsid w:val="00E51657"/>
    <w:rsid w:val="00E52804"/>
    <w:rsid w:val="00E55DAD"/>
    <w:rsid w:val="00E63C68"/>
    <w:rsid w:val="00E64326"/>
    <w:rsid w:val="00E71A10"/>
    <w:rsid w:val="00E73CFA"/>
    <w:rsid w:val="00E73F87"/>
    <w:rsid w:val="00E75C59"/>
    <w:rsid w:val="00E80517"/>
    <w:rsid w:val="00E80DEB"/>
    <w:rsid w:val="00E82A9E"/>
    <w:rsid w:val="00E82F38"/>
    <w:rsid w:val="00E835A4"/>
    <w:rsid w:val="00E86600"/>
    <w:rsid w:val="00E9107A"/>
    <w:rsid w:val="00E93C2A"/>
    <w:rsid w:val="00E9490B"/>
    <w:rsid w:val="00E9523F"/>
    <w:rsid w:val="00E95E2D"/>
    <w:rsid w:val="00E95E5D"/>
    <w:rsid w:val="00E96851"/>
    <w:rsid w:val="00EA5E87"/>
    <w:rsid w:val="00EC39B5"/>
    <w:rsid w:val="00EC44AA"/>
    <w:rsid w:val="00EC5620"/>
    <w:rsid w:val="00ED05EE"/>
    <w:rsid w:val="00ED239D"/>
    <w:rsid w:val="00ED6D84"/>
    <w:rsid w:val="00EE02B3"/>
    <w:rsid w:val="00EE6238"/>
    <w:rsid w:val="00EF1103"/>
    <w:rsid w:val="00EF18E4"/>
    <w:rsid w:val="00EF1D6B"/>
    <w:rsid w:val="00EF676D"/>
    <w:rsid w:val="00F0045B"/>
    <w:rsid w:val="00F00A20"/>
    <w:rsid w:val="00F030BB"/>
    <w:rsid w:val="00F04AB9"/>
    <w:rsid w:val="00F057A1"/>
    <w:rsid w:val="00F07582"/>
    <w:rsid w:val="00F10F46"/>
    <w:rsid w:val="00F13906"/>
    <w:rsid w:val="00F13D51"/>
    <w:rsid w:val="00F16338"/>
    <w:rsid w:val="00F17C0B"/>
    <w:rsid w:val="00F17F3E"/>
    <w:rsid w:val="00F17FE0"/>
    <w:rsid w:val="00F20178"/>
    <w:rsid w:val="00F245A9"/>
    <w:rsid w:val="00F25170"/>
    <w:rsid w:val="00F25F3C"/>
    <w:rsid w:val="00F26087"/>
    <w:rsid w:val="00F27096"/>
    <w:rsid w:val="00F31FEB"/>
    <w:rsid w:val="00F33042"/>
    <w:rsid w:val="00F3352F"/>
    <w:rsid w:val="00F345AE"/>
    <w:rsid w:val="00F35C64"/>
    <w:rsid w:val="00F378BC"/>
    <w:rsid w:val="00F42049"/>
    <w:rsid w:val="00F43BF1"/>
    <w:rsid w:val="00F43C79"/>
    <w:rsid w:val="00F44742"/>
    <w:rsid w:val="00F45718"/>
    <w:rsid w:val="00F47885"/>
    <w:rsid w:val="00F50332"/>
    <w:rsid w:val="00F5533E"/>
    <w:rsid w:val="00F55FA3"/>
    <w:rsid w:val="00F56555"/>
    <w:rsid w:val="00F56F45"/>
    <w:rsid w:val="00F6584B"/>
    <w:rsid w:val="00F716C0"/>
    <w:rsid w:val="00F71766"/>
    <w:rsid w:val="00F7511E"/>
    <w:rsid w:val="00F75953"/>
    <w:rsid w:val="00F75E28"/>
    <w:rsid w:val="00F7797A"/>
    <w:rsid w:val="00F8381C"/>
    <w:rsid w:val="00F838B7"/>
    <w:rsid w:val="00F83D08"/>
    <w:rsid w:val="00F83FAB"/>
    <w:rsid w:val="00F87B6F"/>
    <w:rsid w:val="00F90C53"/>
    <w:rsid w:val="00F93B26"/>
    <w:rsid w:val="00FA0E93"/>
    <w:rsid w:val="00FA181E"/>
    <w:rsid w:val="00FA1BFB"/>
    <w:rsid w:val="00FA64D4"/>
    <w:rsid w:val="00FA7A95"/>
    <w:rsid w:val="00FB0EFB"/>
    <w:rsid w:val="00FB150C"/>
    <w:rsid w:val="00FB572B"/>
    <w:rsid w:val="00FB693E"/>
    <w:rsid w:val="00FB7F33"/>
    <w:rsid w:val="00FC1F11"/>
    <w:rsid w:val="00FC2952"/>
    <w:rsid w:val="00FD0C2B"/>
    <w:rsid w:val="00FD2646"/>
    <w:rsid w:val="00FD7DFA"/>
    <w:rsid w:val="00FE003E"/>
    <w:rsid w:val="00FE0816"/>
    <w:rsid w:val="00FE23C8"/>
    <w:rsid w:val="00FE2781"/>
    <w:rsid w:val="00FE3622"/>
    <w:rsid w:val="00FE5325"/>
    <w:rsid w:val="00FE6C10"/>
    <w:rsid w:val="00FE7F39"/>
    <w:rsid w:val="00FF0C7F"/>
    <w:rsid w:val="00FF530B"/>
    <w:rsid w:val="00FF5DB3"/>
    <w:rsid w:val="00FF6120"/>
    <w:rsid w:val="00FF7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1E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C8"/>
    <w:rPr>
      <w:rFonts w:ascii="Arial" w:hAnsi="Arial"/>
    </w:rPr>
  </w:style>
  <w:style w:type="paragraph" w:styleId="Heading1">
    <w:name w:val="heading 1"/>
    <w:basedOn w:val="Normal"/>
    <w:next w:val="Normal"/>
    <w:link w:val="Heading1Char"/>
    <w:uiPriority w:val="99"/>
    <w:qFormat/>
    <w:rsid w:val="00DB6223"/>
    <w:pPr>
      <w:keepNext/>
      <w:keepLines/>
      <w:numPr>
        <w:numId w:val="9"/>
      </w:numPr>
      <w:tabs>
        <w:tab w:val="left" w:pos="567"/>
      </w:tabs>
      <w:spacing w:before="142" w:after="113" w:line="360" w:lineRule="auto"/>
      <w:jc w:val="both"/>
      <w:outlineLvl w:val="0"/>
    </w:pPr>
    <w:rPr>
      <w:rFonts w:ascii="Tahoma" w:hAnsi="Tahoma" w:cs="Tahoma"/>
      <w:b/>
      <w:caps/>
      <w:kern w:val="28"/>
    </w:rPr>
  </w:style>
  <w:style w:type="paragraph" w:styleId="Heading2">
    <w:name w:val="heading 2"/>
    <w:basedOn w:val="Normal"/>
    <w:next w:val="Normal"/>
    <w:link w:val="Heading2Char"/>
    <w:uiPriority w:val="99"/>
    <w:qFormat/>
    <w:rsid w:val="00254804"/>
    <w:pPr>
      <w:keepNext/>
      <w:numPr>
        <w:ilvl w:val="1"/>
        <w:numId w:val="9"/>
      </w:numPr>
      <w:spacing w:after="160"/>
      <w:ind w:left="567" w:hanging="567"/>
      <w:outlineLvl w:val="1"/>
    </w:pPr>
    <w:rPr>
      <w:b/>
      <w:sz w:val="24"/>
      <w:szCs w:val="24"/>
      <w:u w:val="single"/>
    </w:rPr>
  </w:style>
  <w:style w:type="paragraph" w:styleId="Heading3">
    <w:name w:val="heading 3"/>
    <w:basedOn w:val="Normal"/>
    <w:next w:val="Normal"/>
    <w:link w:val="Heading3Char"/>
    <w:uiPriority w:val="99"/>
    <w:qFormat/>
    <w:rsid w:val="00562515"/>
    <w:pPr>
      <w:keepNext/>
      <w:numPr>
        <w:ilvl w:val="2"/>
        <w:numId w:val="1"/>
      </w:numPr>
      <w:spacing w:before="425" w:after="113"/>
      <w:outlineLvl w:val="2"/>
    </w:pPr>
    <w:rPr>
      <w:b/>
      <w:i/>
      <w:sz w:val="28"/>
    </w:rPr>
  </w:style>
  <w:style w:type="paragraph" w:styleId="Heading4">
    <w:name w:val="heading 4"/>
    <w:basedOn w:val="Normal"/>
    <w:next w:val="Normal"/>
    <w:link w:val="Heading4Char"/>
    <w:uiPriority w:val="99"/>
    <w:qFormat/>
    <w:rsid w:val="00562515"/>
    <w:pPr>
      <w:keepNext/>
      <w:numPr>
        <w:ilvl w:val="3"/>
        <w:numId w:val="1"/>
      </w:numPr>
      <w:tabs>
        <w:tab w:val="clear" w:pos="1209"/>
      </w:tabs>
      <w:spacing w:before="240" w:after="60"/>
      <w:ind w:left="0" w:firstLine="0"/>
      <w:outlineLvl w:val="3"/>
    </w:pPr>
    <w:rPr>
      <w:b/>
      <w:i/>
    </w:rPr>
  </w:style>
  <w:style w:type="paragraph" w:styleId="Heading5">
    <w:name w:val="heading 5"/>
    <w:basedOn w:val="Normal"/>
    <w:next w:val="Normal"/>
    <w:link w:val="Heading5Char"/>
    <w:uiPriority w:val="99"/>
    <w:qFormat/>
    <w:rsid w:val="00562515"/>
    <w:pPr>
      <w:numPr>
        <w:ilvl w:val="4"/>
        <w:numId w:val="1"/>
      </w:numPr>
      <w:tabs>
        <w:tab w:val="clear" w:pos="1209"/>
      </w:tabs>
      <w:spacing w:before="240" w:after="60"/>
      <w:ind w:left="0" w:firstLine="0"/>
      <w:outlineLvl w:val="4"/>
    </w:pPr>
    <w:rPr>
      <w:sz w:val="22"/>
    </w:rPr>
  </w:style>
  <w:style w:type="paragraph" w:styleId="Heading6">
    <w:name w:val="heading 6"/>
    <w:basedOn w:val="Normal"/>
    <w:next w:val="Normal"/>
    <w:link w:val="Heading6Char"/>
    <w:uiPriority w:val="99"/>
    <w:qFormat/>
    <w:rsid w:val="00562515"/>
    <w:pPr>
      <w:numPr>
        <w:ilvl w:val="5"/>
        <w:numId w:val="1"/>
      </w:numPr>
      <w:tabs>
        <w:tab w:val="clear" w:pos="1209"/>
      </w:tabs>
      <w:spacing w:before="240" w:after="60"/>
      <w:ind w:left="0" w:firstLine="0"/>
      <w:outlineLvl w:val="5"/>
    </w:pPr>
    <w:rPr>
      <w:i/>
      <w:sz w:val="22"/>
    </w:rPr>
  </w:style>
  <w:style w:type="paragraph" w:styleId="Heading7">
    <w:name w:val="heading 7"/>
    <w:basedOn w:val="Normal"/>
    <w:next w:val="Normal"/>
    <w:link w:val="Heading7Char"/>
    <w:uiPriority w:val="99"/>
    <w:qFormat/>
    <w:rsid w:val="00562515"/>
    <w:pPr>
      <w:numPr>
        <w:ilvl w:val="6"/>
        <w:numId w:val="1"/>
      </w:numPr>
      <w:tabs>
        <w:tab w:val="clear" w:pos="1209"/>
      </w:tabs>
      <w:spacing w:before="240" w:after="60"/>
      <w:ind w:left="0" w:firstLine="0"/>
      <w:outlineLvl w:val="6"/>
    </w:pPr>
  </w:style>
  <w:style w:type="paragraph" w:styleId="Heading8">
    <w:name w:val="heading 8"/>
    <w:basedOn w:val="Normal"/>
    <w:next w:val="Normal"/>
    <w:link w:val="Heading8Char"/>
    <w:uiPriority w:val="99"/>
    <w:qFormat/>
    <w:rsid w:val="00562515"/>
    <w:pPr>
      <w:numPr>
        <w:ilvl w:val="7"/>
        <w:numId w:val="1"/>
      </w:numPr>
      <w:tabs>
        <w:tab w:val="clear" w:pos="1209"/>
      </w:tabs>
      <w:spacing w:before="240" w:after="60"/>
      <w:ind w:left="0" w:firstLine="0"/>
      <w:outlineLvl w:val="7"/>
    </w:pPr>
    <w:rPr>
      <w:i/>
    </w:rPr>
  </w:style>
  <w:style w:type="paragraph" w:styleId="Heading9">
    <w:name w:val="heading 9"/>
    <w:basedOn w:val="Normal"/>
    <w:next w:val="Normal"/>
    <w:link w:val="Heading9Char"/>
    <w:uiPriority w:val="99"/>
    <w:qFormat/>
    <w:rsid w:val="00562515"/>
    <w:pPr>
      <w:numPr>
        <w:ilvl w:val="8"/>
        <w:numId w:val="1"/>
      </w:numPr>
      <w:tabs>
        <w:tab w:val="clear" w:pos="1209"/>
      </w:tabs>
      <w:spacing w:before="240" w:after="60"/>
      <w:ind w:left="0" w:firstLine="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6223"/>
    <w:rPr>
      <w:rFonts w:ascii="Tahoma" w:hAnsi="Tahoma" w:cs="Tahoma"/>
      <w:b/>
      <w:caps/>
      <w:kern w:val="28"/>
    </w:rPr>
  </w:style>
  <w:style w:type="character" w:customStyle="1" w:styleId="Heading2Char">
    <w:name w:val="Heading 2 Char"/>
    <w:link w:val="Heading2"/>
    <w:uiPriority w:val="99"/>
    <w:locked/>
    <w:rsid w:val="00254804"/>
    <w:rPr>
      <w:rFonts w:ascii="Arial" w:hAnsi="Arial"/>
      <w:b/>
      <w:sz w:val="24"/>
      <w:szCs w:val="24"/>
      <w:u w:val="single"/>
    </w:rPr>
  </w:style>
  <w:style w:type="character" w:customStyle="1" w:styleId="Heading3Char">
    <w:name w:val="Heading 3 Char"/>
    <w:link w:val="Heading3"/>
    <w:uiPriority w:val="99"/>
    <w:locked/>
    <w:rsid w:val="009C0489"/>
    <w:rPr>
      <w:rFonts w:ascii="Arial" w:hAnsi="Arial" w:cs="Times New Roman"/>
      <w:b/>
      <w:i/>
      <w:sz w:val="20"/>
      <w:szCs w:val="20"/>
    </w:rPr>
  </w:style>
  <w:style w:type="character" w:customStyle="1" w:styleId="Heading4Char">
    <w:name w:val="Heading 4 Char"/>
    <w:link w:val="Heading4"/>
    <w:uiPriority w:val="99"/>
    <w:locked/>
    <w:rsid w:val="009C0489"/>
    <w:rPr>
      <w:rFonts w:ascii="Arial" w:hAnsi="Arial" w:cs="Times New Roman"/>
      <w:b/>
      <w:i/>
      <w:sz w:val="20"/>
      <w:szCs w:val="20"/>
    </w:rPr>
  </w:style>
  <w:style w:type="character" w:customStyle="1" w:styleId="Heading5Char">
    <w:name w:val="Heading 5 Char"/>
    <w:link w:val="Heading5"/>
    <w:uiPriority w:val="99"/>
    <w:locked/>
    <w:rsid w:val="009C0489"/>
    <w:rPr>
      <w:rFonts w:ascii="Arial" w:hAnsi="Arial" w:cs="Times New Roman"/>
      <w:sz w:val="20"/>
      <w:szCs w:val="20"/>
    </w:rPr>
  </w:style>
  <w:style w:type="character" w:customStyle="1" w:styleId="Heading6Char">
    <w:name w:val="Heading 6 Char"/>
    <w:link w:val="Heading6"/>
    <w:uiPriority w:val="99"/>
    <w:locked/>
    <w:rsid w:val="009C0489"/>
    <w:rPr>
      <w:rFonts w:ascii="Arial" w:hAnsi="Arial" w:cs="Times New Roman"/>
      <w:i/>
      <w:sz w:val="20"/>
      <w:szCs w:val="20"/>
    </w:rPr>
  </w:style>
  <w:style w:type="character" w:customStyle="1" w:styleId="Heading7Char">
    <w:name w:val="Heading 7 Char"/>
    <w:link w:val="Heading7"/>
    <w:uiPriority w:val="99"/>
    <w:locked/>
    <w:rsid w:val="009C0489"/>
    <w:rPr>
      <w:rFonts w:ascii="Arial" w:hAnsi="Arial" w:cs="Times New Roman"/>
      <w:sz w:val="20"/>
      <w:szCs w:val="20"/>
    </w:rPr>
  </w:style>
  <w:style w:type="character" w:customStyle="1" w:styleId="Heading8Char">
    <w:name w:val="Heading 8 Char"/>
    <w:link w:val="Heading8"/>
    <w:uiPriority w:val="99"/>
    <w:locked/>
    <w:rsid w:val="009C0489"/>
    <w:rPr>
      <w:rFonts w:ascii="Arial" w:hAnsi="Arial" w:cs="Times New Roman"/>
      <w:i/>
      <w:sz w:val="20"/>
      <w:szCs w:val="20"/>
    </w:rPr>
  </w:style>
  <w:style w:type="character" w:customStyle="1" w:styleId="Heading9Char">
    <w:name w:val="Heading 9 Char"/>
    <w:link w:val="Heading9"/>
    <w:uiPriority w:val="99"/>
    <w:locked/>
    <w:rsid w:val="009C0489"/>
    <w:rPr>
      <w:rFonts w:ascii="Arial" w:hAnsi="Arial" w:cs="Times New Roman"/>
      <w:i/>
      <w:sz w:val="20"/>
      <w:szCs w:val="20"/>
    </w:rPr>
  </w:style>
  <w:style w:type="paragraph" w:styleId="Header">
    <w:name w:val="header"/>
    <w:basedOn w:val="Normal"/>
    <w:link w:val="HeaderChar"/>
    <w:uiPriority w:val="99"/>
    <w:rsid w:val="00562515"/>
    <w:pPr>
      <w:tabs>
        <w:tab w:val="center" w:pos="4819"/>
        <w:tab w:val="right" w:pos="9638"/>
      </w:tabs>
    </w:pPr>
  </w:style>
  <w:style w:type="character" w:customStyle="1" w:styleId="HeaderChar">
    <w:name w:val="Header Char"/>
    <w:link w:val="Header"/>
    <w:uiPriority w:val="99"/>
    <w:semiHidden/>
    <w:locked/>
    <w:rsid w:val="009C0489"/>
    <w:rPr>
      <w:rFonts w:ascii="Arial" w:hAnsi="Arial" w:cs="Times New Roman"/>
      <w:sz w:val="20"/>
      <w:szCs w:val="20"/>
    </w:rPr>
  </w:style>
  <w:style w:type="paragraph" w:styleId="Footer">
    <w:name w:val="footer"/>
    <w:basedOn w:val="Normal"/>
    <w:link w:val="FooterChar"/>
    <w:uiPriority w:val="99"/>
    <w:rsid w:val="00562515"/>
    <w:pPr>
      <w:tabs>
        <w:tab w:val="center" w:pos="4819"/>
        <w:tab w:val="right" w:pos="9638"/>
      </w:tabs>
    </w:pPr>
  </w:style>
  <w:style w:type="character" w:customStyle="1" w:styleId="FooterChar">
    <w:name w:val="Footer Char"/>
    <w:link w:val="Footer"/>
    <w:uiPriority w:val="99"/>
    <w:semiHidden/>
    <w:locked/>
    <w:rsid w:val="009C0489"/>
    <w:rPr>
      <w:rFonts w:ascii="Arial" w:hAnsi="Arial" w:cs="Times New Roman"/>
      <w:sz w:val="20"/>
      <w:szCs w:val="20"/>
    </w:rPr>
  </w:style>
  <w:style w:type="character" w:styleId="PageNumber">
    <w:name w:val="page number"/>
    <w:uiPriority w:val="99"/>
    <w:rsid w:val="00562515"/>
    <w:rPr>
      <w:rFonts w:cs="Times New Roman"/>
    </w:rPr>
  </w:style>
  <w:style w:type="paragraph" w:customStyle="1" w:styleId="SubFooter">
    <w:name w:val="SubFooter"/>
    <w:basedOn w:val="Footer"/>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CommentReference">
    <w:name w:val="annotation reference"/>
    <w:semiHidden/>
    <w:rsid w:val="00562515"/>
    <w:rPr>
      <w:rFonts w:cs="Times New Roman"/>
      <w:sz w:val="16"/>
    </w:rPr>
  </w:style>
  <w:style w:type="paragraph" w:styleId="CommentText">
    <w:name w:val="annotation text"/>
    <w:basedOn w:val="Normal"/>
    <w:link w:val="CommentTextChar"/>
    <w:semiHidden/>
    <w:rsid w:val="00562515"/>
    <w:pPr>
      <w:spacing w:after="120"/>
    </w:pPr>
  </w:style>
  <w:style w:type="character" w:customStyle="1" w:styleId="CommentTextChar">
    <w:name w:val="Comment Text Char"/>
    <w:link w:val="CommentText"/>
    <w:semiHidden/>
    <w:locked/>
    <w:rsid w:val="009C0489"/>
    <w:rPr>
      <w:rFonts w:ascii="Arial" w:hAnsi="Arial" w:cs="Times New Roman"/>
      <w:sz w:val="20"/>
      <w:szCs w:val="20"/>
    </w:rPr>
  </w:style>
  <w:style w:type="paragraph" w:styleId="TOC1">
    <w:name w:val="toc 1"/>
    <w:basedOn w:val="Normal"/>
    <w:next w:val="Normal"/>
    <w:autoRedefine/>
    <w:uiPriority w:val="39"/>
    <w:rsid w:val="007E194D"/>
    <w:pPr>
      <w:tabs>
        <w:tab w:val="right" w:leader="dot" w:pos="9355"/>
      </w:tabs>
      <w:spacing w:line="348" w:lineRule="auto"/>
    </w:pPr>
    <w:rPr>
      <w:caps/>
      <w:sz w:val="24"/>
    </w:rPr>
  </w:style>
  <w:style w:type="paragraph" w:styleId="Caption">
    <w:name w:val="caption"/>
    <w:basedOn w:val="Normal"/>
    <w:next w:val="Normal"/>
    <w:uiPriority w:val="99"/>
    <w:qFormat/>
    <w:rsid w:val="00562515"/>
    <w:pPr>
      <w:spacing w:before="120" w:after="120"/>
    </w:pPr>
    <w:rPr>
      <w:b/>
    </w:rPr>
  </w:style>
  <w:style w:type="paragraph" w:styleId="TableofFigures">
    <w:name w:val="table of figures"/>
    <w:basedOn w:val="Normal"/>
    <w:next w:val="Normal"/>
    <w:uiPriority w:val="99"/>
    <w:semiHidden/>
    <w:rsid w:val="00562515"/>
    <w:pPr>
      <w:ind w:left="400" w:hanging="400"/>
    </w:pPr>
  </w:style>
  <w:style w:type="paragraph" w:styleId="BodyText">
    <w:name w:val="Body Text"/>
    <w:basedOn w:val="Normal"/>
    <w:link w:val="BodyTextChar"/>
    <w:uiPriority w:val="99"/>
    <w:rsid w:val="00562515"/>
    <w:pPr>
      <w:spacing w:after="215"/>
    </w:pPr>
  </w:style>
  <w:style w:type="character" w:customStyle="1" w:styleId="BodyTextChar">
    <w:name w:val="Body Text Char"/>
    <w:link w:val="BodyText"/>
    <w:uiPriority w:val="99"/>
    <w:locked/>
    <w:rsid w:val="00FB7F33"/>
    <w:rPr>
      <w:rFonts w:ascii="Arial" w:hAnsi="Arial" w:cs="Times New Roman"/>
    </w:rPr>
  </w:style>
  <w:style w:type="paragraph" w:customStyle="1" w:styleId="HeadingB">
    <w:name w:val="Heading B"/>
    <w:basedOn w:val="Heading2"/>
    <w:next w:val="BodyText"/>
    <w:uiPriority w:val="99"/>
    <w:rsid w:val="00562515"/>
    <w:pPr>
      <w:numPr>
        <w:numId w:val="2"/>
      </w:numPr>
      <w:shd w:val="clear" w:color="000000" w:fill="auto"/>
      <w:tabs>
        <w:tab w:val="clear" w:pos="360"/>
        <w:tab w:val="left" w:pos="397"/>
      </w:tabs>
      <w:spacing w:after="120"/>
      <w:ind w:left="0" w:firstLine="0"/>
      <w:outlineLvl w:val="9"/>
    </w:pPr>
    <w:rPr>
      <w:b w:val="0"/>
      <w:sz w:val="20"/>
    </w:rPr>
  </w:style>
  <w:style w:type="paragraph" w:styleId="FootnoteText">
    <w:name w:val="footnote text"/>
    <w:basedOn w:val="Normal"/>
    <w:link w:val="FootnoteTextChar"/>
    <w:uiPriority w:val="99"/>
    <w:semiHidden/>
    <w:rsid w:val="00562515"/>
    <w:pPr>
      <w:spacing w:after="120"/>
    </w:pPr>
  </w:style>
  <w:style w:type="character" w:customStyle="1" w:styleId="FootnoteTextChar">
    <w:name w:val="Footnote Text Char"/>
    <w:link w:val="FootnoteText"/>
    <w:uiPriority w:val="99"/>
    <w:semiHidden/>
    <w:locked/>
    <w:rsid w:val="009C0489"/>
    <w:rPr>
      <w:rFonts w:ascii="Arial" w:hAnsi="Arial" w:cs="Times New Roman"/>
      <w:sz w:val="20"/>
      <w:szCs w:val="20"/>
    </w:rPr>
  </w:style>
  <w:style w:type="paragraph" w:styleId="BalloonText">
    <w:name w:val="Balloon Text"/>
    <w:basedOn w:val="Normal"/>
    <w:link w:val="BalloonTextChar"/>
    <w:uiPriority w:val="99"/>
    <w:semiHidden/>
    <w:rsid w:val="00C34B5C"/>
    <w:rPr>
      <w:rFonts w:ascii="Tahoma" w:hAnsi="Tahoma" w:cs="Tahoma"/>
      <w:sz w:val="16"/>
      <w:szCs w:val="16"/>
    </w:rPr>
  </w:style>
  <w:style w:type="character" w:customStyle="1" w:styleId="BalloonTextChar">
    <w:name w:val="Balloon Text Char"/>
    <w:link w:val="BalloonText"/>
    <w:uiPriority w:val="99"/>
    <w:semiHidden/>
    <w:locked/>
    <w:rsid w:val="009C0489"/>
    <w:rPr>
      <w:rFonts w:cs="Times New Roman"/>
      <w:sz w:val="2"/>
    </w:rPr>
  </w:style>
  <w:style w:type="paragraph" w:styleId="Title">
    <w:name w:val="Title"/>
    <w:basedOn w:val="Normal"/>
    <w:link w:val="TitleChar"/>
    <w:uiPriority w:val="99"/>
    <w:qFormat/>
    <w:rsid w:val="00C34B5C"/>
    <w:pPr>
      <w:spacing w:before="240" w:after="60"/>
      <w:jc w:val="right"/>
    </w:pPr>
    <w:rPr>
      <w:b/>
      <w:kern w:val="28"/>
      <w:sz w:val="28"/>
    </w:rPr>
  </w:style>
  <w:style w:type="character" w:customStyle="1" w:styleId="TitleChar">
    <w:name w:val="Title Char"/>
    <w:link w:val="Title"/>
    <w:uiPriority w:val="99"/>
    <w:locked/>
    <w:rsid w:val="009C0489"/>
    <w:rPr>
      <w:rFonts w:ascii="Cambria" w:hAnsi="Cambria" w:cs="Times New Roman"/>
      <w:b/>
      <w:bCs/>
      <w:kern w:val="28"/>
      <w:sz w:val="32"/>
      <w:szCs w:val="32"/>
    </w:rPr>
  </w:style>
  <w:style w:type="paragraph" w:customStyle="1" w:styleId="HeadingA">
    <w:name w:val="Heading A"/>
    <w:basedOn w:val="Heading1"/>
    <w:next w:val="BodyText"/>
    <w:uiPriority w:val="99"/>
    <w:rsid w:val="00FA7A95"/>
    <w:pPr>
      <w:tabs>
        <w:tab w:val="num" w:pos="432"/>
      </w:tabs>
      <w:ind w:left="432" w:hanging="432"/>
      <w:outlineLvl w:val="9"/>
    </w:pPr>
  </w:style>
  <w:style w:type="paragraph" w:styleId="TOC2">
    <w:name w:val="toc 2"/>
    <w:basedOn w:val="Normal"/>
    <w:next w:val="Normal"/>
    <w:autoRedefine/>
    <w:uiPriority w:val="39"/>
    <w:rsid w:val="007E194D"/>
    <w:pPr>
      <w:tabs>
        <w:tab w:val="left" w:pos="1134"/>
        <w:tab w:val="right" w:leader="dot" w:pos="9344"/>
      </w:tabs>
      <w:spacing w:line="348" w:lineRule="auto"/>
      <w:ind w:left="567"/>
    </w:pPr>
  </w:style>
  <w:style w:type="paragraph" w:styleId="TOC7">
    <w:name w:val="toc 7"/>
    <w:basedOn w:val="Normal"/>
    <w:next w:val="Normal"/>
    <w:autoRedefine/>
    <w:uiPriority w:val="99"/>
    <w:semiHidden/>
    <w:rsid w:val="00007E87"/>
    <w:pPr>
      <w:tabs>
        <w:tab w:val="right" w:leader="dot" w:pos="9628"/>
      </w:tabs>
    </w:pPr>
  </w:style>
  <w:style w:type="table" w:styleId="TableGrid">
    <w:name w:val="Table Grid"/>
    <w:basedOn w:val="TableNormal"/>
    <w:uiPriority w:val="99"/>
    <w:rsid w:val="005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10EAF"/>
    <w:rPr>
      <w:rFonts w:cs="Times New Roman"/>
      <w:color w:val="0000FF"/>
      <w:u w:val="single"/>
    </w:rPr>
  </w:style>
  <w:style w:type="paragraph" w:styleId="DocumentMap">
    <w:name w:val="Document Map"/>
    <w:basedOn w:val="Normal"/>
    <w:link w:val="DocumentMapChar"/>
    <w:uiPriority w:val="99"/>
    <w:semiHidden/>
    <w:rsid w:val="00BE6B4F"/>
    <w:pPr>
      <w:shd w:val="clear" w:color="auto" w:fill="000080"/>
    </w:pPr>
    <w:rPr>
      <w:rFonts w:ascii="Tahoma" w:hAnsi="Tahoma" w:cs="Tahoma"/>
    </w:rPr>
  </w:style>
  <w:style w:type="character" w:customStyle="1" w:styleId="DocumentMapChar">
    <w:name w:val="Document Map Char"/>
    <w:link w:val="DocumentMap"/>
    <w:uiPriority w:val="99"/>
    <w:semiHidden/>
    <w:locked/>
    <w:rsid w:val="009C0489"/>
    <w:rPr>
      <w:rFonts w:cs="Times New Roman"/>
      <w:sz w:val="2"/>
    </w:rPr>
  </w:style>
  <w:style w:type="paragraph" w:styleId="CommentSubject">
    <w:name w:val="annotation subject"/>
    <w:basedOn w:val="CommentText"/>
    <w:next w:val="CommentText"/>
    <w:link w:val="CommentSubjectChar"/>
    <w:uiPriority w:val="99"/>
    <w:semiHidden/>
    <w:rsid w:val="00F345AE"/>
    <w:pPr>
      <w:spacing w:after="0"/>
    </w:pPr>
    <w:rPr>
      <w:b/>
      <w:bCs/>
    </w:rPr>
  </w:style>
  <w:style w:type="character" w:customStyle="1" w:styleId="CommentSubjectChar">
    <w:name w:val="Comment Subject Char"/>
    <w:link w:val="CommentSubject"/>
    <w:uiPriority w:val="99"/>
    <w:semiHidden/>
    <w:locked/>
    <w:rsid w:val="009C0489"/>
    <w:rPr>
      <w:rFonts w:ascii="Arial" w:hAnsi="Arial" w:cs="Times New Roman"/>
      <w:b/>
      <w:bCs/>
      <w:sz w:val="20"/>
      <w:szCs w:val="20"/>
    </w:rPr>
  </w:style>
  <w:style w:type="character" w:styleId="FollowedHyperlink">
    <w:name w:val="FollowedHyperlink"/>
    <w:uiPriority w:val="99"/>
    <w:rsid w:val="00281546"/>
    <w:rPr>
      <w:rFonts w:cs="Times New Roman"/>
      <w:color w:val="800080"/>
      <w:u w:val="single"/>
    </w:rPr>
  </w:style>
  <w:style w:type="paragraph" w:styleId="Signature">
    <w:name w:val="Signature"/>
    <w:basedOn w:val="Normal"/>
    <w:link w:val="SignatureChar"/>
    <w:uiPriority w:val="99"/>
    <w:rsid w:val="00FB693E"/>
    <w:pPr>
      <w:ind w:left="4252"/>
    </w:pPr>
  </w:style>
  <w:style w:type="character" w:customStyle="1" w:styleId="SignatureChar">
    <w:name w:val="Signature Char"/>
    <w:link w:val="Signature"/>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Signature"/>
    <w:uiPriority w:val="99"/>
    <w:rsid w:val="00FB693E"/>
    <w:pPr>
      <w:ind w:left="0"/>
      <w:jc w:val="center"/>
    </w:pPr>
  </w:style>
  <w:style w:type="paragraph" w:customStyle="1" w:styleId="TypografiOverskrift112pktStorebogstaver">
    <w:name w:val="Typografi Overskrift 1 + 12 pkt Store bogstaver"/>
    <w:basedOn w:val="Heading1"/>
    <w:uiPriority w:val="99"/>
    <w:rsid w:val="00A07D62"/>
    <w:rPr>
      <w:bCs/>
      <w:sz w:val="24"/>
    </w:rPr>
  </w:style>
  <w:style w:type="paragraph" w:styleId="ListBullet4">
    <w:name w:val="List Bullet 4"/>
    <w:basedOn w:val="Normal"/>
    <w:uiPriority w:val="99"/>
    <w:rsid w:val="005B099C"/>
    <w:pPr>
      <w:tabs>
        <w:tab w:val="num" w:pos="1209"/>
      </w:tabs>
      <w:ind w:left="1209" w:hanging="360"/>
    </w:pPr>
  </w:style>
  <w:style w:type="paragraph" w:styleId="NoteHeading">
    <w:name w:val="Note Heading"/>
    <w:basedOn w:val="Normal"/>
    <w:next w:val="Normal"/>
    <w:link w:val="NoteHeadingChar"/>
    <w:uiPriority w:val="99"/>
    <w:rsid w:val="00FB150C"/>
  </w:style>
  <w:style w:type="character" w:customStyle="1" w:styleId="NoteHeadingChar">
    <w:name w:val="Note Heading Char"/>
    <w:link w:val="NoteHeading"/>
    <w:uiPriority w:val="99"/>
    <w:locked/>
    <w:rsid w:val="00FB150C"/>
    <w:rPr>
      <w:rFonts w:ascii="Arial" w:hAnsi="Arial" w:cs="Times New Roman"/>
    </w:rPr>
  </w:style>
  <w:style w:type="paragraph" w:styleId="TOC3">
    <w:name w:val="toc 3"/>
    <w:basedOn w:val="Normal"/>
    <w:next w:val="Normal"/>
    <w:autoRedefine/>
    <w:uiPriority w:val="99"/>
    <w:rsid w:val="00B55E57"/>
    <w:pPr>
      <w:ind w:left="400"/>
    </w:pPr>
  </w:style>
  <w:style w:type="paragraph" w:styleId="ListBullet">
    <w:name w:val="List Bullet"/>
    <w:basedOn w:val="Normal"/>
    <w:uiPriority w:val="99"/>
    <w:rsid w:val="00150088"/>
    <w:pPr>
      <w:numPr>
        <w:numId w:val="10"/>
      </w:numPr>
      <w:tabs>
        <w:tab w:val="num" w:pos="360"/>
      </w:tabs>
      <w:ind w:left="360" w:hanging="360"/>
      <w:contextualSpacing/>
    </w:pPr>
  </w:style>
  <w:style w:type="paragraph" w:styleId="ListNumber">
    <w:name w:val="List Number"/>
    <w:basedOn w:val="Normal"/>
    <w:uiPriority w:val="99"/>
    <w:rsid w:val="00AC668A"/>
    <w:pPr>
      <w:numPr>
        <w:numId w:val="6"/>
      </w:numPr>
      <w:ind w:left="0" w:firstLine="0"/>
      <w:contextualSpacing/>
    </w:pPr>
  </w:style>
  <w:style w:type="numbering" w:customStyle="1" w:styleId="TypografiTypografiTypografiTypografiTypografiTypografiTypografiT2">
    <w:name w:val="Typografi Typografi Typografi Typografi Typografi Typografi Typografi T...2"/>
    <w:rsid w:val="00950EEF"/>
    <w:pPr>
      <w:numPr>
        <w:numId w:val="13"/>
      </w:numPr>
    </w:pPr>
  </w:style>
  <w:style w:type="paragraph" w:customStyle="1" w:styleId="Normal-tilpasset">
    <w:name w:val="Normal - tilpasset"/>
    <w:basedOn w:val="Normal"/>
    <w:qFormat/>
    <w:rsid w:val="005345A0"/>
    <w:pPr>
      <w:tabs>
        <w:tab w:val="left" w:pos="567"/>
        <w:tab w:val="left" w:pos="1134"/>
        <w:tab w:val="left" w:pos="1701"/>
      </w:tabs>
      <w:overflowPunct w:val="0"/>
      <w:autoSpaceDE w:val="0"/>
      <w:autoSpaceDN w:val="0"/>
      <w:adjustRightInd w:val="0"/>
      <w:spacing w:before="120" w:after="120" w:line="300" w:lineRule="exact"/>
      <w:jc w:val="both"/>
      <w:textAlignment w:val="baseline"/>
    </w:pPr>
    <w:rPr>
      <w:rFonts w:ascii="Times New Roman" w:hAnsi="Times New Roman"/>
      <w:bCs/>
      <w:sz w:val="23"/>
    </w:rPr>
  </w:style>
  <w:style w:type="character" w:styleId="PlaceholderText">
    <w:name w:val="Placeholder Text"/>
    <w:uiPriority w:val="99"/>
    <w:semiHidden/>
    <w:rsid w:val="00E52804"/>
    <w:rPr>
      <w:color w:val="FFFFFF"/>
    </w:rPr>
  </w:style>
  <w:style w:type="paragraph" w:styleId="ListParagraph">
    <w:name w:val="List Paragraph"/>
    <w:basedOn w:val="Normal"/>
    <w:uiPriority w:val="34"/>
    <w:qFormat/>
    <w:rsid w:val="00ED6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815">
      <w:marLeft w:val="0"/>
      <w:marRight w:val="0"/>
      <w:marTop w:val="0"/>
      <w:marBottom w:val="0"/>
      <w:divBdr>
        <w:top w:val="none" w:sz="0" w:space="0" w:color="auto"/>
        <w:left w:val="none" w:sz="0" w:space="0" w:color="auto"/>
        <w:bottom w:val="none" w:sz="0" w:space="0" w:color="auto"/>
        <w:right w:val="none" w:sz="0" w:space="0" w:color="auto"/>
      </w:divBdr>
    </w:div>
    <w:div w:id="33386816">
      <w:marLeft w:val="0"/>
      <w:marRight w:val="0"/>
      <w:marTop w:val="0"/>
      <w:marBottom w:val="0"/>
      <w:divBdr>
        <w:top w:val="none" w:sz="0" w:space="0" w:color="auto"/>
        <w:left w:val="none" w:sz="0" w:space="0" w:color="auto"/>
        <w:bottom w:val="none" w:sz="0" w:space="0" w:color="auto"/>
        <w:right w:val="none" w:sz="0" w:space="0" w:color="auto"/>
      </w:divBdr>
    </w:div>
    <w:div w:id="33386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BCB411DC92854BB0E6EB698584AFEF" ma:contentTypeVersion="0" ma:contentTypeDescription="Opret et nyt dokument." ma:contentTypeScope="" ma:versionID="be5bf45429f4efa89bbec865fbc045f2">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92a7b62-18c2-4926-a891-55c0c57152a8">FMIDOC-995-75</_dlc_DocId>
    <_dlc_DocIdUrl xmlns="b92a7b62-18c2-4926-a891-55c0c57152a8">
      <Url>http://fish.msp.forsvaret.fiin.dk/myn/fmi/Viden-Om/juridisk/_layouts/DocIdRedir.aspx?ID=FMIDOC-995-75</Url>
      <Description>FMIDOC-995-75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1F8D7-A5FB-4588-BF01-39E16B386541}">
  <ds:schemaRefs>
    <ds:schemaRef ds:uri="http://schemas.microsoft.com/sharepoint/events"/>
  </ds:schemaRefs>
</ds:datastoreItem>
</file>

<file path=customXml/itemProps2.xml><?xml version="1.0" encoding="utf-8"?>
<ds:datastoreItem xmlns:ds="http://schemas.openxmlformats.org/officeDocument/2006/customXml" ds:itemID="{C7A55982-B926-4788-BD89-5F21AAB1AAD9}">
  <ds:schemaRefs>
    <ds:schemaRef ds:uri="http://schemas.microsoft.com/sharepoint/v3/contenttype/forms"/>
  </ds:schemaRefs>
</ds:datastoreItem>
</file>

<file path=customXml/itemProps3.xml><?xml version="1.0" encoding="utf-8"?>
<ds:datastoreItem xmlns:ds="http://schemas.openxmlformats.org/officeDocument/2006/customXml" ds:itemID="{C62FFA3B-F5C2-40B9-87C8-CE6FE5529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2F218-3FD9-4EAD-8F0C-8FC8E068FD2A}">
  <ds:schemaRefs>
    <ds:schemaRef ds:uri="http://schemas.microsoft.com/office/2006/metadata/properties"/>
    <ds:schemaRef ds:uri="http://schemas.microsoft.com/office/infopath/2007/PartnerControls"/>
    <ds:schemaRef ds:uri="b92a7b62-18c2-4926-a891-55c0c57152a8"/>
  </ds:schemaRefs>
</ds:datastoreItem>
</file>

<file path=customXml/itemProps5.xml><?xml version="1.0" encoding="utf-8"?>
<ds:datastoreItem xmlns:ds="http://schemas.openxmlformats.org/officeDocument/2006/customXml" ds:itemID="{B5651BE4-1A8F-4AC5-9BEB-1B9C1FAD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1118</Words>
  <Characters>6580</Characters>
  <Application>Microsoft Office Word</Application>
  <DocSecurity>0</DocSecurity>
  <Lines>177</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2022-10-26T16:50:00Z</dcterms:created>
  <dcterms:modified xsi:type="dcterms:W3CDTF">2022-11-22T23:14:00Z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1c689286-79a8-46ac-9b09-cf679a135a12</vt:lpwstr>
  </property>
  <property fmtid="{D5CDD505-2E9C-101B-9397-08002B2CF9AE}" pid="3" name="ContentTypeId">
    <vt:lpwstr>0x01010000BCB411DC92854BB0E6EB698584AFEF</vt:lpwstr>
  </property>
  <property fmtid="{D5CDD505-2E9C-101B-9397-08002B2CF9AE}" pid="4" name="Order">
    <vt:r8>31000</vt:r8>
  </property>
  <property fmtid="{D5CDD505-2E9C-101B-9397-08002B2CF9AE}" pid="5" name="SD_DocumentLanguage">
    <vt:lpwstr>da-DK</vt:lpwstr>
  </property>
  <property fmtid="{D5CDD505-2E9C-101B-9397-08002B2CF9AE}" pid="6" name="ContentRemapped">
    <vt:lpwstr>true</vt:lpwstr>
  </property>
  <property fmtid="{D5CDD505-2E9C-101B-9397-08002B2CF9AE}" pid="7" name="sdDocumentDate">
    <vt:lpwstr>42928</vt:lpwstr>
  </property>
  <property fmtid="{D5CDD505-2E9C-101B-9397-08002B2CF9AE}" pid="8" name="SD_IntegrationInfoAdded">
    <vt:bool>true</vt:bool>
  </property>
  <property fmtid="{D5CDD505-2E9C-101B-9397-08002B2CF9AE}" pid="9" name="TitusGUID">
    <vt:lpwstr>84d3637a-f82d-4017-9202-d1c6179a8462</vt:lpwstr>
  </property>
  <property fmtid="{D5CDD505-2E9C-101B-9397-08002B2CF9AE}" pid="10" name="Klassifikation">
    <vt:lpwstr>IKKE KLASSIFICERET</vt:lpwstr>
  </property>
  <property fmtid="{D5CDD505-2E9C-101B-9397-08002B2CF9AE}" pid="11" name="Maerkning">
    <vt:lpwstr/>
  </property>
</Properties>
</file>