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8B" w:rsidRPr="00E81D58" w:rsidRDefault="008E638B" w:rsidP="0036038E">
      <w:pPr>
        <w:jc w:val="center"/>
        <w:rPr>
          <w:b/>
          <w:sz w:val="27"/>
          <w:szCs w:val="27"/>
          <w:u w:val="single"/>
        </w:rPr>
      </w:pPr>
      <w:bookmarkStart w:id="0" w:name="_GoBack"/>
      <w:bookmarkEnd w:id="0"/>
    </w:p>
    <w:p w:rsidR="008E638B" w:rsidRPr="00E81D58" w:rsidRDefault="008E638B" w:rsidP="0036038E">
      <w:pPr>
        <w:jc w:val="center"/>
        <w:rPr>
          <w:b/>
          <w:sz w:val="27"/>
          <w:szCs w:val="27"/>
          <w:u w:val="single"/>
        </w:rPr>
      </w:pPr>
    </w:p>
    <w:p w:rsidR="008E638B" w:rsidRPr="00E81D58" w:rsidRDefault="008E638B" w:rsidP="0036038E">
      <w:pPr>
        <w:jc w:val="center"/>
        <w:rPr>
          <w:b/>
          <w:sz w:val="27"/>
          <w:szCs w:val="27"/>
          <w:u w:val="single"/>
        </w:rPr>
      </w:pPr>
    </w:p>
    <w:p w:rsidR="001412D9" w:rsidRPr="00E81D58" w:rsidRDefault="001412D9" w:rsidP="001412D9">
      <w:pPr>
        <w:jc w:val="center"/>
        <w:rPr>
          <w:b/>
          <w:sz w:val="27"/>
          <w:szCs w:val="27"/>
          <w:u w:val="single"/>
        </w:rPr>
      </w:pPr>
    </w:p>
    <w:p w:rsidR="008E638B" w:rsidRPr="00E81D58" w:rsidRDefault="008E638B" w:rsidP="0036038E">
      <w:pPr>
        <w:jc w:val="center"/>
        <w:rPr>
          <w:b/>
          <w:sz w:val="27"/>
          <w:szCs w:val="27"/>
          <w:u w:val="single"/>
        </w:rPr>
      </w:pPr>
    </w:p>
    <w:p w:rsidR="008E638B" w:rsidRPr="00E81D58" w:rsidRDefault="008E638B" w:rsidP="0036038E">
      <w:pPr>
        <w:jc w:val="center"/>
        <w:rPr>
          <w:b/>
          <w:sz w:val="27"/>
          <w:szCs w:val="27"/>
          <w:u w:val="single"/>
        </w:rPr>
      </w:pPr>
    </w:p>
    <w:p w:rsidR="008E638B" w:rsidRPr="00E81D58" w:rsidRDefault="008E638B" w:rsidP="0036038E">
      <w:pPr>
        <w:jc w:val="center"/>
        <w:rPr>
          <w:b/>
          <w:sz w:val="27"/>
          <w:szCs w:val="27"/>
          <w:u w:val="single"/>
        </w:rPr>
      </w:pPr>
    </w:p>
    <w:p w:rsidR="008E638B" w:rsidRPr="00E81D58" w:rsidRDefault="008E638B" w:rsidP="0036038E">
      <w:pPr>
        <w:jc w:val="center"/>
        <w:rPr>
          <w:b/>
          <w:sz w:val="27"/>
          <w:szCs w:val="27"/>
          <w:u w:val="single"/>
        </w:rPr>
      </w:pPr>
    </w:p>
    <w:p w:rsidR="0040730F" w:rsidRPr="000F2698" w:rsidRDefault="0040730F" w:rsidP="0040730F">
      <w:pPr>
        <w:pStyle w:val="Overskrift9"/>
        <w:jc w:val="center"/>
        <w:rPr>
          <w:sz w:val="28"/>
          <w:u w:val="single"/>
        </w:rPr>
      </w:pPr>
      <w:r w:rsidRPr="000F2698">
        <w:rPr>
          <w:sz w:val="28"/>
          <w:u w:val="single"/>
        </w:rPr>
        <w:t>Bilag N</w:t>
      </w:r>
    </w:p>
    <w:p w:rsidR="0040730F" w:rsidRPr="000F2698" w:rsidRDefault="0040730F" w:rsidP="000F2698">
      <w:pPr>
        <w:spacing w:after="240"/>
        <w:jc w:val="center"/>
        <w:rPr>
          <w:sz w:val="28"/>
          <w:szCs w:val="28"/>
        </w:rPr>
      </w:pPr>
    </w:p>
    <w:p w:rsidR="0040730F" w:rsidRPr="000F2698" w:rsidRDefault="0040730F" w:rsidP="0040730F">
      <w:pPr>
        <w:pStyle w:val="Overskrift9"/>
        <w:jc w:val="center"/>
        <w:rPr>
          <w:b w:val="0"/>
          <w:sz w:val="28"/>
        </w:rPr>
      </w:pPr>
      <w:r w:rsidRPr="000F2698">
        <w:rPr>
          <w:b w:val="0"/>
          <w:sz w:val="28"/>
        </w:rPr>
        <w:t xml:space="preserve">Kvalitetsstyring </w:t>
      </w:r>
    </w:p>
    <w:p w:rsidR="0040730F" w:rsidRPr="00E81D58" w:rsidRDefault="0040730F" w:rsidP="0040730F"/>
    <w:p w:rsidR="0040730F" w:rsidRPr="00E81D58" w:rsidRDefault="0040730F" w:rsidP="0040730F">
      <w:pPr>
        <w:tabs>
          <w:tab w:val="clear" w:pos="567"/>
          <w:tab w:val="clear" w:pos="1134"/>
          <w:tab w:val="clear" w:pos="1701"/>
        </w:tabs>
        <w:overflowPunct/>
        <w:autoSpaceDE/>
        <w:autoSpaceDN/>
        <w:adjustRightInd/>
        <w:spacing w:line="240" w:lineRule="auto"/>
        <w:jc w:val="left"/>
        <w:textAlignment w:val="auto"/>
      </w:pPr>
      <w:r w:rsidRPr="00E81D58">
        <w:br w:type="page"/>
      </w:r>
    </w:p>
    <w:p w:rsidR="00605A52" w:rsidRPr="00E81D58" w:rsidRDefault="00605A52" w:rsidP="00CD313F">
      <w:pPr>
        <w:pStyle w:val="Listeafsnit"/>
        <w:numPr>
          <w:ilvl w:val="0"/>
          <w:numId w:val="16"/>
        </w:numPr>
        <w:ind w:left="426" w:hanging="426"/>
        <w:rPr>
          <w:b/>
        </w:rPr>
      </w:pPr>
      <w:r w:rsidRPr="00E81D58">
        <w:rPr>
          <w:b/>
        </w:rPr>
        <w:lastRenderedPageBreak/>
        <w:t>Kvalitetsstyringssystem</w:t>
      </w:r>
    </w:p>
    <w:p w:rsidR="00344873" w:rsidRPr="00E81D58" w:rsidRDefault="00344873" w:rsidP="00344873">
      <w:pPr>
        <w:pStyle w:val="Opstilling-punkttegn"/>
        <w:numPr>
          <w:ilvl w:val="0"/>
          <w:numId w:val="0"/>
        </w:numPr>
        <w:tabs>
          <w:tab w:val="left" w:pos="1304"/>
        </w:tabs>
        <w:rPr>
          <w:rFonts w:ascii="Arial" w:hAnsi="Arial" w:cs="Arial"/>
        </w:rPr>
      </w:pPr>
      <w:r w:rsidRPr="00E81D58">
        <w:rPr>
          <w:rFonts w:ascii="Arial" w:hAnsi="Arial"/>
        </w:rPr>
        <w:t xml:space="preserve">I </w:t>
      </w:r>
      <w:r w:rsidR="004A3529">
        <w:rPr>
          <w:rFonts w:ascii="Arial" w:hAnsi="Arial"/>
        </w:rPr>
        <w:t>Kontrakt</w:t>
      </w:r>
      <w:r w:rsidRPr="00E81D58">
        <w:rPr>
          <w:rFonts w:ascii="Arial" w:hAnsi="Arial"/>
        </w:rPr>
        <w:t xml:space="preserve">perioden og </w:t>
      </w:r>
      <w:r w:rsidR="00553B01">
        <w:rPr>
          <w:rFonts w:ascii="Arial" w:hAnsi="Arial"/>
        </w:rPr>
        <w:t>Garanti</w:t>
      </w:r>
      <w:r w:rsidRPr="00E81D58">
        <w:rPr>
          <w:rFonts w:ascii="Arial" w:hAnsi="Arial"/>
        </w:rPr>
        <w:t xml:space="preserve">perioden skal </w:t>
      </w:r>
      <w:r w:rsidR="004A3529">
        <w:rPr>
          <w:rFonts w:ascii="Arial" w:hAnsi="Arial"/>
        </w:rPr>
        <w:t>L</w:t>
      </w:r>
      <w:r w:rsidRPr="00E81D58">
        <w:rPr>
          <w:rFonts w:ascii="Arial" w:hAnsi="Arial"/>
        </w:rPr>
        <w:t>everandøren sørge for og vedligeholde et kvalitetsstyringssystem (</w:t>
      </w:r>
      <w:r w:rsidR="00D7762F">
        <w:rPr>
          <w:rFonts w:ascii="Arial" w:hAnsi="Arial"/>
        </w:rPr>
        <w:t>KS</w:t>
      </w:r>
      <w:r w:rsidRPr="00E81D58">
        <w:rPr>
          <w:rFonts w:ascii="Arial" w:hAnsi="Arial"/>
        </w:rPr>
        <w:t xml:space="preserve">) med et omfang, der opfylder FMI's krav i henhold til </w:t>
      </w:r>
      <w:r w:rsidR="004A3529">
        <w:rPr>
          <w:rFonts w:ascii="Arial" w:hAnsi="Arial"/>
        </w:rPr>
        <w:t>Kontrakten</w:t>
      </w:r>
      <w:r w:rsidRPr="00E81D58">
        <w:rPr>
          <w:rFonts w:ascii="Arial" w:hAnsi="Arial"/>
        </w:rPr>
        <w:t xml:space="preserve">. </w:t>
      </w:r>
      <w:r w:rsidR="00D7762F">
        <w:rPr>
          <w:rFonts w:ascii="Arial" w:hAnsi="Arial"/>
        </w:rPr>
        <w:t>Kvalitetsstyringssystemet</w:t>
      </w:r>
      <w:r w:rsidR="00D7762F" w:rsidRPr="00E81D58">
        <w:rPr>
          <w:rFonts w:ascii="Arial" w:hAnsi="Arial"/>
        </w:rPr>
        <w:t xml:space="preserve"> </w:t>
      </w:r>
      <w:r w:rsidRPr="00E81D58">
        <w:rPr>
          <w:rFonts w:ascii="Arial" w:hAnsi="Arial"/>
        </w:rPr>
        <w:t xml:space="preserve">skal dække alle relevante dele af </w:t>
      </w:r>
      <w:r w:rsidR="004A3529">
        <w:rPr>
          <w:rFonts w:ascii="Arial" w:hAnsi="Arial"/>
        </w:rPr>
        <w:t>L</w:t>
      </w:r>
      <w:r w:rsidRPr="00E81D58">
        <w:rPr>
          <w:rFonts w:ascii="Arial" w:hAnsi="Arial"/>
        </w:rPr>
        <w:t xml:space="preserve">everandørens organisation, der skal dokumenteres i </w:t>
      </w:r>
      <w:r w:rsidR="00D7762F">
        <w:rPr>
          <w:rFonts w:ascii="Arial" w:hAnsi="Arial"/>
        </w:rPr>
        <w:t>KS</w:t>
      </w:r>
      <w:r w:rsidR="00D7762F" w:rsidRPr="00E81D58">
        <w:rPr>
          <w:rFonts w:ascii="Arial" w:hAnsi="Arial"/>
        </w:rPr>
        <w:t xml:space="preserve"> </w:t>
      </w:r>
      <w:r w:rsidRPr="00E81D58">
        <w:rPr>
          <w:rFonts w:ascii="Arial" w:hAnsi="Arial"/>
        </w:rPr>
        <w:t xml:space="preserve">og eventuelt i </w:t>
      </w:r>
      <w:r w:rsidR="00D7762F">
        <w:rPr>
          <w:rFonts w:ascii="Arial" w:hAnsi="Arial"/>
        </w:rPr>
        <w:t>et certifikat</w:t>
      </w:r>
      <w:r w:rsidRPr="00E81D58">
        <w:rPr>
          <w:rFonts w:ascii="Arial" w:hAnsi="Arial"/>
        </w:rPr>
        <w:t>.</w:t>
      </w:r>
    </w:p>
    <w:p w:rsidR="00344873" w:rsidRPr="00E81D58" w:rsidRDefault="00344873" w:rsidP="00344873">
      <w:pPr>
        <w:pStyle w:val="Opstilling-punkttegn"/>
        <w:numPr>
          <w:ilvl w:val="0"/>
          <w:numId w:val="0"/>
        </w:numPr>
        <w:tabs>
          <w:tab w:val="left" w:pos="1304"/>
        </w:tabs>
        <w:rPr>
          <w:rFonts w:ascii="Times New Roman" w:hAnsi="Times New Roman"/>
        </w:rPr>
      </w:pPr>
    </w:p>
    <w:p w:rsidR="000A0F96" w:rsidRPr="00E81D58" w:rsidRDefault="00D7762F" w:rsidP="00344873">
      <w:pPr>
        <w:rPr>
          <w:rFonts w:ascii="Arial" w:hAnsi="Arial" w:cs="Arial"/>
        </w:rPr>
      </w:pPr>
      <w:r>
        <w:rPr>
          <w:rFonts w:ascii="Arial" w:hAnsi="Arial"/>
        </w:rPr>
        <w:t>Kvalitetsstyringssystemet</w:t>
      </w:r>
      <w:r w:rsidRPr="00E81D58">
        <w:rPr>
          <w:rFonts w:ascii="Arial" w:hAnsi="Arial"/>
        </w:rPr>
        <w:t xml:space="preserve"> </w:t>
      </w:r>
      <w:r w:rsidR="000A0F96" w:rsidRPr="00E81D58">
        <w:rPr>
          <w:rFonts w:ascii="Arial" w:hAnsi="Arial"/>
        </w:rPr>
        <w:t>skal være i henhold til ISO9001 eller lignende standarder, krav og/eller procedurer.</w:t>
      </w:r>
    </w:p>
    <w:p w:rsidR="001D2FB7" w:rsidRPr="00E81D58" w:rsidRDefault="001D2FB7" w:rsidP="00344873">
      <w:pPr>
        <w:rPr>
          <w:rFonts w:ascii="Arial" w:hAnsi="Arial" w:cs="Arial"/>
        </w:rPr>
      </w:pPr>
    </w:p>
    <w:p w:rsidR="000A0F96" w:rsidRPr="00E81D58" w:rsidRDefault="001D2FB7" w:rsidP="00344873">
      <w:pPr>
        <w:rPr>
          <w:rFonts w:ascii="Arial" w:hAnsi="Arial" w:cs="Arial"/>
        </w:rPr>
      </w:pPr>
      <w:r w:rsidRPr="00E81D58">
        <w:rPr>
          <w:rFonts w:ascii="Arial" w:hAnsi="Arial"/>
        </w:rPr>
        <w:t xml:space="preserve">Hvis leverandøren foreslår et </w:t>
      </w:r>
      <w:r w:rsidR="00D7762F">
        <w:rPr>
          <w:rFonts w:ascii="Arial" w:hAnsi="Arial"/>
        </w:rPr>
        <w:t>kvalitetsstyringssystem</w:t>
      </w:r>
      <w:r w:rsidRPr="00E81D58">
        <w:rPr>
          <w:rFonts w:ascii="Arial" w:hAnsi="Arial"/>
        </w:rPr>
        <w:t xml:space="preserve">, der adskiller sig fra de anførte ISO-systemer, skal </w:t>
      </w:r>
      <w:r w:rsidR="004A3529">
        <w:rPr>
          <w:rFonts w:ascii="Arial" w:hAnsi="Arial"/>
        </w:rPr>
        <w:t>L</w:t>
      </w:r>
      <w:r w:rsidRPr="00E81D58">
        <w:rPr>
          <w:rFonts w:ascii="Arial" w:hAnsi="Arial"/>
        </w:rPr>
        <w:t xml:space="preserve">everandøren på anmodning herom fremlægge fuld dokumentation for det anvendte system. FMI </w:t>
      </w:r>
      <w:r w:rsidR="00D7762F">
        <w:rPr>
          <w:rFonts w:ascii="Arial" w:hAnsi="Arial"/>
        </w:rPr>
        <w:t xml:space="preserve">skal </w:t>
      </w:r>
      <w:r w:rsidRPr="00E81D58">
        <w:rPr>
          <w:rFonts w:ascii="Arial" w:hAnsi="Arial"/>
        </w:rPr>
        <w:t xml:space="preserve">godkende </w:t>
      </w:r>
      <w:r w:rsidR="00036230">
        <w:rPr>
          <w:rFonts w:ascii="Arial" w:hAnsi="Arial"/>
        </w:rPr>
        <w:t>kvalitetsstyringssystemet</w:t>
      </w:r>
      <w:r w:rsidRPr="00E81D58">
        <w:rPr>
          <w:rFonts w:ascii="Arial" w:hAnsi="Arial"/>
        </w:rPr>
        <w:t xml:space="preserve"> med </w:t>
      </w:r>
      <w:r w:rsidR="00D7762F">
        <w:rPr>
          <w:rFonts w:ascii="Arial" w:hAnsi="Arial"/>
        </w:rPr>
        <w:t xml:space="preserve">tilhørende </w:t>
      </w:r>
      <w:r w:rsidRPr="00E81D58">
        <w:rPr>
          <w:rFonts w:ascii="Arial" w:hAnsi="Arial"/>
        </w:rPr>
        <w:t>dokumentation.</w:t>
      </w:r>
    </w:p>
    <w:p w:rsidR="00344873" w:rsidRPr="00E81D58" w:rsidRDefault="00344873" w:rsidP="00344873">
      <w:pPr>
        <w:rPr>
          <w:rFonts w:ascii="Arial" w:hAnsi="Arial" w:cs="Arial"/>
        </w:rPr>
      </w:pPr>
      <w:r w:rsidRPr="00E81D58">
        <w:rPr>
          <w:rFonts w:ascii="Arial" w:hAnsi="Arial"/>
        </w:rPr>
        <w:t xml:space="preserve">  </w:t>
      </w:r>
    </w:p>
    <w:p w:rsidR="00344873" w:rsidRPr="00E81D58" w:rsidRDefault="00344873" w:rsidP="00344873">
      <w:pPr>
        <w:rPr>
          <w:rFonts w:ascii="Arial" w:hAnsi="Arial" w:cs="Arial"/>
        </w:rPr>
      </w:pPr>
      <w:r w:rsidRPr="00E81D58">
        <w:rPr>
          <w:rFonts w:ascii="Arial" w:hAnsi="Arial"/>
        </w:rPr>
        <w:t xml:space="preserve">Kontrol af </w:t>
      </w:r>
      <w:r w:rsidR="00D7762F">
        <w:rPr>
          <w:rFonts w:ascii="Arial" w:hAnsi="Arial"/>
        </w:rPr>
        <w:t>KS</w:t>
      </w:r>
      <w:r w:rsidR="00D7762F" w:rsidRPr="00E81D58">
        <w:rPr>
          <w:rFonts w:ascii="Arial" w:hAnsi="Arial"/>
        </w:rPr>
        <w:t xml:space="preserve"> </w:t>
      </w:r>
      <w:r w:rsidRPr="00E81D58">
        <w:rPr>
          <w:rFonts w:ascii="Arial" w:hAnsi="Arial"/>
        </w:rPr>
        <w:t xml:space="preserve">fritager ikke </w:t>
      </w:r>
      <w:r w:rsidR="004A3529">
        <w:rPr>
          <w:rFonts w:ascii="Arial" w:hAnsi="Arial"/>
        </w:rPr>
        <w:t>L</w:t>
      </w:r>
      <w:r w:rsidRPr="00E81D58">
        <w:rPr>
          <w:rFonts w:ascii="Arial" w:hAnsi="Arial"/>
        </w:rPr>
        <w:t xml:space="preserve">everandøren for de forpligtelser eller ansvarsområder, der fremgår af </w:t>
      </w:r>
      <w:r w:rsidR="004A3529">
        <w:rPr>
          <w:rFonts w:ascii="Arial" w:hAnsi="Arial"/>
        </w:rPr>
        <w:t>Kontrakten</w:t>
      </w:r>
      <w:r w:rsidRPr="00E81D58">
        <w:rPr>
          <w:rFonts w:ascii="Arial" w:hAnsi="Arial"/>
        </w:rPr>
        <w:t xml:space="preserve">, og manglende kontrol begrænser heller ikke på nogen måde FMI’s rettigheder i henhold til </w:t>
      </w:r>
      <w:r w:rsidR="004A3529">
        <w:rPr>
          <w:rFonts w:ascii="Arial" w:hAnsi="Arial"/>
        </w:rPr>
        <w:t>Kontrakten</w:t>
      </w:r>
      <w:r w:rsidRPr="00E81D58">
        <w:rPr>
          <w:rFonts w:ascii="Arial" w:hAnsi="Arial"/>
        </w:rPr>
        <w:t>.</w:t>
      </w:r>
    </w:p>
    <w:p w:rsidR="00605A52" w:rsidRPr="00E81D58" w:rsidRDefault="00605A52" w:rsidP="00605A52"/>
    <w:p w:rsidR="00605A52" w:rsidRPr="00E81D58" w:rsidRDefault="00605A52" w:rsidP="00605A52"/>
    <w:p w:rsidR="00605A52" w:rsidRPr="00E81D58" w:rsidRDefault="00605A52" w:rsidP="00CD313F">
      <w:pPr>
        <w:pStyle w:val="Listeafsnit"/>
        <w:numPr>
          <w:ilvl w:val="0"/>
          <w:numId w:val="16"/>
        </w:numPr>
        <w:ind w:left="426" w:hanging="426"/>
        <w:rPr>
          <w:b/>
        </w:rPr>
      </w:pPr>
      <w:r w:rsidRPr="00E81D58">
        <w:rPr>
          <w:b/>
        </w:rPr>
        <w:t>Kvalitetsplan</w:t>
      </w:r>
    </w:p>
    <w:p w:rsidR="00233936" w:rsidRPr="00E81D58" w:rsidRDefault="00605A52" w:rsidP="00605A52">
      <w:r w:rsidRPr="00E81D58">
        <w:t>Leverandøren udfærdiger og sender en kvalitetsplan (</w:t>
      </w:r>
      <w:r w:rsidR="00D7762F">
        <w:t>K</w:t>
      </w:r>
      <w:r w:rsidR="00D7762F" w:rsidRPr="00E81D58">
        <w:t>P</w:t>
      </w:r>
      <w:r w:rsidRPr="00E81D58">
        <w:t xml:space="preserve">) til FMI. </w:t>
      </w:r>
      <w:r w:rsidR="00D7762F">
        <w:t>Kvalitetsplanen</w:t>
      </w:r>
      <w:r w:rsidR="00D7762F" w:rsidRPr="00E81D58">
        <w:t xml:space="preserve"> </w:t>
      </w:r>
      <w:r w:rsidRPr="00E81D58">
        <w:t>skal som minimum være i overensstemmelse med d</w:t>
      </w:r>
      <w:r w:rsidR="00AC05DF" w:rsidRPr="00E81D58">
        <w:t xml:space="preserve">et anvendte kvalitetssystem. </w:t>
      </w:r>
      <w:r w:rsidR="00D7762F">
        <w:t>Kvalitetsplanen</w:t>
      </w:r>
      <w:r w:rsidR="00D7762F" w:rsidRPr="00E81D58">
        <w:t xml:space="preserve"> </w:t>
      </w:r>
      <w:r w:rsidRPr="00E81D58">
        <w:t xml:space="preserve">skal dække hele </w:t>
      </w:r>
      <w:r w:rsidR="004A3529">
        <w:t>Kontrakt</w:t>
      </w:r>
      <w:r w:rsidRPr="00E81D58">
        <w:t xml:space="preserve">perioden og </w:t>
      </w:r>
      <w:r w:rsidR="00553B01">
        <w:t>Gar</w:t>
      </w:r>
      <w:r w:rsidR="007B03AD">
        <w:t>a</w:t>
      </w:r>
      <w:r w:rsidR="00553B01">
        <w:t>ntiperioden</w:t>
      </w:r>
      <w:r w:rsidRPr="00E81D58">
        <w:t>.</w:t>
      </w:r>
    </w:p>
    <w:p w:rsidR="00233936" w:rsidRPr="00E81D58" w:rsidRDefault="00233936" w:rsidP="00233936"/>
    <w:p w:rsidR="00233936" w:rsidRPr="00E81D58" w:rsidRDefault="00233936" w:rsidP="00233936">
      <w:pPr>
        <w:tabs>
          <w:tab w:val="left" w:pos="0"/>
        </w:tabs>
      </w:pPr>
      <w:r w:rsidRPr="00E81D58">
        <w:t xml:space="preserve">Leverandøren udarbejder en separat </w:t>
      </w:r>
      <w:r w:rsidR="00D7762F">
        <w:t>kvalitetsplan</w:t>
      </w:r>
      <w:r w:rsidR="00D7762F" w:rsidRPr="00E81D58">
        <w:t xml:space="preserve"> </w:t>
      </w:r>
      <w:r w:rsidRPr="00E81D58">
        <w:t xml:space="preserve">for leveringer fra underentreprenører, medmindre disse er inkluderet i leverandørens </w:t>
      </w:r>
      <w:r w:rsidR="00D7762F">
        <w:t>kvalitetsplan</w:t>
      </w:r>
      <w:r w:rsidRPr="00E81D58">
        <w:t>.</w:t>
      </w:r>
    </w:p>
    <w:p w:rsidR="000A2B19" w:rsidRPr="00E81D58" w:rsidRDefault="000A2B19" w:rsidP="000A2B19"/>
    <w:p w:rsidR="00AD7F02" w:rsidRPr="00E81D58" w:rsidRDefault="00D7762F" w:rsidP="00AD7F02">
      <w:r>
        <w:t>Kvalitetsplanen</w:t>
      </w:r>
      <w:r w:rsidR="00AD7F02" w:rsidRPr="00E81D58">
        <w:t xml:space="preserve"> skal beskrive og dokumentere planlægning af produktrealiseringen hvad angår kvalitetskrav til </w:t>
      </w:r>
      <w:r w:rsidR="002E2F18">
        <w:t>P</w:t>
      </w:r>
      <w:r w:rsidR="00AD7F02" w:rsidRPr="00E81D58">
        <w:t xml:space="preserve">roduktet, de nødvendige ressourcer, påkrævede kontrolaktiviteter (verifikation, validering, kontrol, inspektion, afprøvning) og godkendelseskriterier. </w:t>
      </w:r>
      <w:r>
        <w:t>Kvalitetsplanen</w:t>
      </w:r>
      <w:r w:rsidR="00AD7F02" w:rsidRPr="00E81D58">
        <w:t xml:space="preserve"> skal være godkendt i form af underskrift fra de organisatoriske enheder, hvis ansvarsområder er identificeret i </w:t>
      </w:r>
      <w:r>
        <w:t>kvalitetsplanen</w:t>
      </w:r>
      <w:r w:rsidR="00AD7F02" w:rsidRPr="00E81D58">
        <w:t>.</w:t>
      </w:r>
    </w:p>
    <w:p w:rsidR="00C001F4" w:rsidRPr="00E81D58" w:rsidRDefault="00C001F4" w:rsidP="00AD7F02"/>
    <w:p w:rsidR="00AD7F02" w:rsidRPr="00D7762F" w:rsidRDefault="00D7762F" w:rsidP="000A2B19">
      <w:r w:rsidRPr="00D7762F">
        <w:t xml:space="preserve">Kvalitetsplanen </w:t>
      </w:r>
      <w:r w:rsidR="006A5A4D" w:rsidRPr="00D7762F">
        <w:t xml:space="preserve">skal som minimum indeholde FAT (Factory </w:t>
      </w:r>
      <w:proofErr w:type="spellStart"/>
      <w:r w:rsidR="006A5A4D" w:rsidRPr="00D7762F">
        <w:t>Acceptance</w:t>
      </w:r>
      <w:proofErr w:type="spellEnd"/>
      <w:r w:rsidR="006A5A4D" w:rsidRPr="00D7762F">
        <w:t xml:space="preserve"> Test), HAT (</w:t>
      </w:r>
      <w:proofErr w:type="spellStart"/>
      <w:r w:rsidR="006A5A4D" w:rsidRPr="00D7762F">
        <w:t>Harbour</w:t>
      </w:r>
      <w:proofErr w:type="spellEnd"/>
      <w:r w:rsidR="006A5A4D" w:rsidRPr="00D7762F">
        <w:t xml:space="preserve"> </w:t>
      </w:r>
      <w:proofErr w:type="spellStart"/>
      <w:r w:rsidR="006A5A4D" w:rsidRPr="00D7762F">
        <w:t>Acceptance</w:t>
      </w:r>
      <w:proofErr w:type="spellEnd"/>
      <w:r w:rsidR="006A5A4D" w:rsidRPr="00D7762F">
        <w:t xml:space="preserve"> Test) og SAT (Sea </w:t>
      </w:r>
      <w:proofErr w:type="spellStart"/>
      <w:r w:rsidR="006A5A4D" w:rsidRPr="00D7762F">
        <w:t>Acceptance</w:t>
      </w:r>
      <w:proofErr w:type="spellEnd"/>
      <w:r w:rsidR="006A5A4D" w:rsidRPr="00D7762F">
        <w:t xml:space="preserve"> Test).</w:t>
      </w:r>
    </w:p>
    <w:p w:rsidR="006A5A4D" w:rsidRPr="00D7762F" w:rsidRDefault="006A5A4D" w:rsidP="000A2B19"/>
    <w:p w:rsidR="000A2B19" w:rsidRPr="00E81D58" w:rsidRDefault="00D7762F" w:rsidP="000A2B19">
      <w:r w:rsidRPr="00D7762F">
        <w:t>Kvalitetsplan</w:t>
      </w:r>
      <w:r w:rsidR="000A2B19" w:rsidRPr="00E81D58">
        <w:t xml:space="preserve">en og dens reviderede udgaver gennemgås og godkendes af FMI. </w:t>
      </w:r>
    </w:p>
    <w:p w:rsidR="00233936" w:rsidRPr="00E81D58" w:rsidRDefault="00233936" w:rsidP="00605A52"/>
    <w:p w:rsidR="00233936" w:rsidRPr="00E81D58" w:rsidRDefault="00233936" w:rsidP="00CD313F">
      <w:pPr>
        <w:pStyle w:val="Listeafsnit"/>
        <w:numPr>
          <w:ilvl w:val="0"/>
          <w:numId w:val="16"/>
        </w:numPr>
        <w:ind w:left="426" w:hanging="426"/>
        <w:rPr>
          <w:b/>
        </w:rPr>
      </w:pPr>
      <w:r w:rsidRPr="00E81D58">
        <w:rPr>
          <w:b/>
        </w:rPr>
        <w:lastRenderedPageBreak/>
        <w:t>Risikoplan</w:t>
      </w:r>
    </w:p>
    <w:p w:rsidR="00233936" w:rsidRPr="00E81D58" w:rsidRDefault="00233936" w:rsidP="00233936">
      <w:r w:rsidRPr="00E81D58">
        <w:t>Leverandøren udarbejder en risikostyringsplan (</w:t>
      </w:r>
      <w:r w:rsidR="00D7762F">
        <w:t>RSP</w:t>
      </w:r>
      <w:r w:rsidRPr="00E81D58">
        <w:t xml:space="preserve">) for de leverancer, der er dækket af aftalen (både </w:t>
      </w:r>
      <w:r w:rsidR="002E2F18">
        <w:t>I</w:t>
      </w:r>
      <w:r w:rsidRPr="00E81D58">
        <w:t xml:space="preserve">nnovations- og </w:t>
      </w:r>
      <w:r w:rsidR="002E2F18">
        <w:t>U</w:t>
      </w:r>
      <w:r w:rsidRPr="00E81D58">
        <w:t xml:space="preserve">dviklingsprocessen samt </w:t>
      </w:r>
      <w:r w:rsidR="002E2F18">
        <w:t>Købsoptionen</w:t>
      </w:r>
      <w:r w:rsidRPr="00E81D58">
        <w:t xml:space="preserve">) i forbindelse med </w:t>
      </w:r>
      <w:r w:rsidR="00D7762F">
        <w:t>B</w:t>
      </w:r>
      <w:r w:rsidR="00D7762F" w:rsidRPr="00E81D58">
        <w:t xml:space="preserve">ilag </w:t>
      </w:r>
      <w:r w:rsidRPr="00E81D58">
        <w:t xml:space="preserve">B. </w:t>
      </w:r>
    </w:p>
    <w:p w:rsidR="002017F6" w:rsidRPr="00E81D58" w:rsidRDefault="002017F6" w:rsidP="00233936"/>
    <w:p w:rsidR="002216C3" w:rsidRPr="00E81D58" w:rsidRDefault="00D7762F" w:rsidP="002216C3">
      <w:r>
        <w:t>Risikostyringsplanen</w:t>
      </w:r>
      <w:r w:rsidR="00233936" w:rsidRPr="00E81D58">
        <w:t xml:space="preserve"> skal indledes med risikoidentifikation under kontraktgennemgang og gennemgås derefter regelmæssigt samt opdateres løbende, hvis risikoen ændrer sig. </w:t>
      </w:r>
      <w:r>
        <w:t>Risikostyringsplanen</w:t>
      </w:r>
      <w:r w:rsidR="00233936" w:rsidRPr="00E81D58">
        <w:t xml:space="preserve"> skal beskrive og dokumentere risici og deres forhold til andre risici.</w:t>
      </w:r>
    </w:p>
    <w:p w:rsidR="00233936" w:rsidRPr="00E81D58" w:rsidRDefault="00D7762F" w:rsidP="00233936">
      <w:r>
        <w:t>Risikostyringsplanen</w:t>
      </w:r>
      <w:r w:rsidR="00233936" w:rsidRPr="00E81D58">
        <w:t xml:space="preserve"> kan være et særskilt dokument eller udgøre en del af kvalitetsplanen. </w:t>
      </w:r>
    </w:p>
    <w:p w:rsidR="00233936" w:rsidRPr="00E81D58" w:rsidRDefault="00233936" w:rsidP="00605A52"/>
    <w:p w:rsidR="00233936" w:rsidRPr="00E81D58" w:rsidRDefault="00233936" w:rsidP="00233936">
      <w:r w:rsidRPr="00E81D58">
        <w:t>Kilder til risici skal inddeles i klassificeringer hvad angår tid, omkostninger og produkt.</w:t>
      </w:r>
    </w:p>
    <w:p w:rsidR="00233936" w:rsidRPr="00E81D58" w:rsidRDefault="00233936" w:rsidP="00233936"/>
    <w:p w:rsidR="002216C3" w:rsidRPr="00E81D58" w:rsidRDefault="00D7762F" w:rsidP="002216C3">
      <w:r>
        <w:t>Risikostyringsplanen</w:t>
      </w:r>
      <w:r w:rsidR="002216C3" w:rsidRPr="00E81D58">
        <w:t xml:space="preserve"> skal omfatte, men skal ikke nødvendigvis være begrænset til, følgende:</w:t>
      </w:r>
    </w:p>
    <w:p w:rsidR="00233936" w:rsidRPr="00E81D58" w:rsidRDefault="00233936" w:rsidP="000F2698">
      <w:pPr>
        <w:pStyle w:val="Listeafsnit"/>
        <w:numPr>
          <w:ilvl w:val="0"/>
          <w:numId w:val="14"/>
        </w:numPr>
        <w:spacing w:before="120" w:line="276" w:lineRule="auto"/>
        <w:ind w:left="1134" w:hanging="578"/>
        <w:contextualSpacing w:val="0"/>
      </w:pPr>
      <w:r w:rsidRPr="00E81D58">
        <w:rPr>
          <w:u w:val="single"/>
        </w:rPr>
        <w:t>Risikoplanlægning</w:t>
      </w:r>
      <w:r w:rsidRPr="00E81D58">
        <w:t>: Udvikling og dokumentering af organiserede, omfattende og interaktive strategier og metoder til udførelse af risikostyring. Risikoplanlægning skal omfatte en plan, der identificerer og overvåger risikoområder, udvikler planer til mindskelse af risici, udfører risikovurderinger for at påvise, hvordan risiciene har ændret sig, og planlægger tilstrækkelige ressourcer. Risikoplanen skal dokumentere, hvem, hvad, hvornår og hvor for risikostyring.</w:t>
      </w:r>
    </w:p>
    <w:p w:rsidR="00233936" w:rsidRPr="00E81D58" w:rsidRDefault="00233936" w:rsidP="000F2698">
      <w:pPr>
        <w:pStyle w:val="Listeafsnit"/>
        <w:numPr>
          <w:ilvl w:val="0"/>
          <w:numId w:val="14"/>
        </w:numPr>
        <w:spacing w:before="120" w:line="276" w:lineRule="auto"/>
        <w:ind w:left="1134" w:hanging="578"/>
        <w:contextualSpacing w:val="0"/>
      </w:pPr>
      <w:r w:rsidRPr="00E81D58">
        <w:rPr>
          <w:u w:val="single"/>
        </w:rPr>
        <w:t>Risikoidentifikation</w:t>
      </w:r>
      <w:r w:rsidRPr="00E81D58">
        <w:t>: Beskriver processen for, hvordan man undersøger programmet, processer, krav og vigtige teknologier for identificerede og dokumentere risikoområder.</w:t>
      </w:r>
    </w:p>
    <w:p w:rsidR="00233936" w:rsidRPr="00E81D58" w:rsidRDefault="00233936" w:rsidP="000F2698">
      <w:pPr>
        <w:pStyle w:val="Listeafsnit"/>
        <w:numPr>
          <w:ilvl w:val="0"/>
          <w:numId w:val="14"/>
        </w:numPr>
        <w:spacing w:before="120" w:line="276" w:lineRule="auto"/>
        <w:ind w:left="1134" w:hanging="578"/>
        <w:contextualSpacing w:val="0"/>
      </w:pPr>
      <w:r w:rsidRPr="00E81D58">
        <w:rPr>
          <w:u w:val="single"/>
        </w:rPr>
        <w:t>Risikoanalyse</w:t>
      </w:r>
      <w:r w:rsidRPr="00E81D58">
        <w:t>: Beskriver processen for, hvordan man undersøger hver enkelt identificeret risiko, isolerer årsagen og fastslår betydningen.</w:t>
      </w:r>
    </w:p>
    <w:p w:rsidR="00233936" w:rsidRPr="00E81D58" w:rsidRDefault="00233936" w:rsidP="000F2698">
      <w:pPr>
        <w:pStyle w:val="Listeafsnit"/>
        <w:numPr>
          <w:ilvl w:val="0"/>
          <w:numId w:val="14"/>
        </w:numPr>
        <w:spacing w:before="120" w:line="276" w:lineRule="auto"/>
        <w:ind w:left="1134" w:hanging="578"/>
        <w:contextualSpacing w:val="0"/>
      </w:pPr>
      <w:r w:rsidRPr="00E81D58">
        <w:rPr>
          <w:u w:val="single"/>
        </w:rPr>
        <w:t>Risikokontrol</w:t>
      </w:r>
      <w:r w:rsidRPr="00E81D58">
        <w:t>: Beskriver processen for, hvordan man identificerer, evaluerer, vælger og implementerer løsninger, der sætter risikoen på et acceptabelt niveau i betragtning af programrestriktioner og -mål.</w:t>
      </w:r>
    </w:p>
    <w:p w:rsidR="00233936" w:rsidRPr="00E81D58" w:rsidRDefault="00233936" w:rsidP="000F2698">
      <w:pPr>
        <w:pStyle w:val="Listeafsnit"/>
        <w:numPr>
          <w:ilvl w:val="0"/>
          <w:numId w:val="14"/>
        </w:numPr>
        <w:spacing w:before="120" w:line="276" w:lineRule="auto"/>
        <w:ind w:left="1134" w:hanging="578"/>
        <w:contextualSpacing w:val="0"/>
      </w:pPr>
      <w:r w:rsidRPr="00E81D58">
        <w:rPr>
          <w:u w:val="single"/>
        </w:rPr>
        <w:t>Mindskelse af risici</w:t>
      </w:r>
      <w:r w:rsidRPr="00E81D58">
        <w:t>: Beskriver processen for, hvordan man identificerer aktive tiltag til at mindske risicienes indflydelse på programmål. Dette skal omfatte og specificere, hvad der skal gøres, hvornår det skal gøres, hvem der er ansvarlig, og hvad udgiften vil være.</w:t>
      </w:r>
    </w:p>
    <w:p w:rsidR="00233936" w:rsidRPr="00E81D58" w:rsidRDefault="00233936" w:rsidP="00233936"/>
    <w:p w:rsidR="002216C3" w:rsidRPr="00E81D58" w:rsidRDefault="00611245" w:rsidP="002216C3">
      <w:r>
        <w:t>Risikostyringsplanen</w:t>
      </w:r>
      <w:r w:rsidR="002216C3" w:rsidRPr="00E81D58">
        <w:t xml:space="preserve"> og dens reviderede udgaver gennemgås og godkendes af FMI. </w:t>
      </w:r>
    </w:p>
    <w:p w:rsidR="00605A52" w:rsidRPr="00E81D58" w:rsidRDefault="00605A52" w:rsidP="00605A52"/>
    <w:p w:rsidR="00605A52" w:rsidRPr="00E81D58" w:rsidRDefault="00605A52" w:rsidP="00CD313F">
      <w:pPr>
        <w:pStyle w:val="Listeafsnit"/>
        <w:numPr>
          <w:ilvl w:val="0"/>
          <w:numId w:val="16"/>
        </w:numPr>
        <w:ind w:left="426" w:hanging="426"/>
        <w:rPr>
          <w:b/>
        </w:rPr>
      </w:pPr>
      <w:r w:rsidRPr="00E81D58">
        <w:rPr>
          <w:b/>
        </w:rPr>
        <w:t>Generelle kvalitetskrav</w:t>
      </w:r>
    </w:p>
    <w:p w:rsidR="00605A52" w:rsidRPr="00E81D58" w:rsidRDefault="00605A52" w:rsidP="00605A52">
      <w:r w:rsidRPr="00E81D58">
        <w:t xml:space="preserve">Kvalitetsplanen og risikoplanen fremlægges for FMI til godkendelse senest 45 (femogfyrre) hverdage efter </w:t>
      </w:r>
      <w:r w:rsidR="002E2F18">
        <w:t>Kontraktens</w:t>
      </w:r>
      <w:r w:rsidRPr="00E81D58">
        <w:t xml:space="preserve"> ikrafttrædelse.</w:t>
      </w:r>
    </w:p>
    <w:p w:rsidR="00605A52" w:rsidRPr="00E81D58" w:rsidRDefault="00605A52" w:rsidP="00605A52"/>
    <w:p w:rsidR="00605A52" w:rsidRPr="00E81D58" w:rsidRDefault="00605A52" w:rsidP="00605A52">
      <w:r w:rsidRPr="00E81D58">
        <w:t xml:space="preserve">FMI kan afvise planerne helt eller delvist, hvis indholdet heri ikke giver den nødvendige garanti for, at kravene i </w:t>
      </w:r>
      <w:r w:rsidR="002E2F18">
        <w:t>Kontrakten</w:t>
      </w:r>
      <w:r w:rsidRPr="00E81D58">
        <w:t xml:space="preserve"> vedrørende planerne kan opfyldes.</w:t>
      </w:r>
    </w:p>
    <w:p w:rsidR="00605A52" w:rsidRPr="00E81D58" w:rsidRDefault="00605A52" w:rsidP="00605A52"/>
    <w:p w:rsidR="00605A52" w:rsidRPr="00E81D58" w:rsidRDefault="00605A52" w:rsidP="00605A52">
      <w:r w:rsidRPr="00E81D58">
        <w:t xml:space="preserve">Hvis FMI afviser planerne, skal leverandøren udfærdige nye planer, der tager højde for alle FMI's kommentarer og begrundelser for afvisningen. Hvis FMI's afvisning er berettiget, fordi de først fremlagte planer er utilstrækkelige og/eller fejlbehæftede, udarbejdes de nye planer uden ekstra beregning for FMI og danner ikke grundlag for forlængelse af den </w:t>
      </w:r>
      <w:r w:rsidR="002E2F18">
        <w:t>F</w:t>
      </w:r>
      <w:r w:rsidRPr="00E81D58">
        <w:t xml:space="preserve">ørste </w:t>
      </w:r>
      <w:r w:rsidR="002E2F18">
        <w:t>L</w:t>
      </w:r>
      <w:r w:rsidRPr="00E81D58">
        <w:t xml:space="preserve">everingsfrist, </w:t>
      </w:r>
      <w:r w:rsidR="002E2F18">
        <w:t>M</w:t>
      </w:r>
      <w:r w:rsidRPr="00E81D58">
        <w:t xml:space="preserve">ilepælene og/eller den </w:t>
      </w:r>
      <w:r w:rsidR="002E2F18">
        <w:t>E</w:t>
      </w:r>
      <w:r w:rsidRPr="00E81D58">
        <w:t xml:space="preserve">ndelige </w:t>
      </w:r>
      <w:r w:rsidR="002E2F18">
        <w:t>L</w:t>
      </w:r>
      <w:r w:rsidRPr="00E81D58">
        <w:t>everingsfrist.</w:t>
      </w:r>
    </w:p>
    <w:p w:rsidR="00605A52" w:rsidRPr="00E81D58" w:rsidRDefault="00605A52" w:rsidP="00605A52"/>
    <w:p w:rsidR="00605A52" w:rsidRPr="00E81D58" w:rsidRDefault="00605A52" w:rsidP="00605A52">
      <w:r w:rsidRPr="00E81D58">
        <w:t xml:space="preserve">Al kvalitetsdokumentation skal gemmes af </w:t>
      </w:r>
      <w:r w:rsidR="002E2F18">
        <w:t>L</w:t>
      </w:r>
      <w:r w:rsidRPr="00E81D58">
        <w:t xml:space="preserve">everandøren i mindst 2 (to) år efter den </w:t>
      </w:r>
      <w:r w:rsidR="002E2F18">
        <w:t>Endelige</w:t>
      </w:r>
      <w:r w:rsidRPr="00E81D58">
        <w:t xml:space="preserve"> </w:t>
      </w:r>
      <w:r w:rsidR="002E2F18">
        <w:t>L</w:t>
      </w:r>
      <w:r w:rsidRPr="00E81D58">
        <w:t xml:space="preserve">everingsfrist i henhold til </w:t>
      </w:r>
      <w:r w:rsidR="002E2F18">
        <w:t>Kontrakten</w:t>
      </w:r>
      <w:r w:rsidRPr="00E81D58">
        <w:t xml:space="preserve">, uanset om FMI har modtaget et eksemplar af </w:t>
      </w:r>
      <w:r w:rsidR="002E2F18">
        <w:t>D</w:t>
      </w:r>
      <w:r w:rsidRPr="00E81D58">
        <w:t>okumentationen eller ej.</w:t>
      </w:r>
    </w:p>
    <w:p w:rsidR="00605A52" w:rsidRPr="00E81D58" w:rsidRDefault="00605A52" w:rsidP="00605A52"/>
    <w:p w:rsidR="00605A52" w:rsidRPr="00E81D58" w:rsidRDefault="00605A52" w:rsidP="00605A52">
      <w:r w:rsidRPr="00E81D58">
        <w:t xml:space="preserve">Hvis FMI beslutter, at det er nødvendig at foretage </w:t>
      </w:r>
      <w:proofErr w:type="spellStart"/>
      <w:r w:rsidRPr="00E81D58">
        <w:t>Government</w:t>
      </w:r>
      <w:proofErr w:type="spellEnd"/>
      <w:r w:rsidRPr="00E81D58">
        <w:t xml:space="preserve"> </w:t>
      </w:r>
      <w:proofErr w:type="spellStart"/>
      <w:r w:rsidRPr="00E81D58">
        <w:t>Quality</w:t>
      </w:r>
      <w:proofErr w:type="spellEnd"/>
      <w:r w:rsidRPr="00E81D58">
        <w:t xml:space="preserve"> Assurance af en National </w:t>
      </w:r>
      <w:proofErr w:type="spellStart"/>
      <w:r w:rsidRPr="00E81D58">
        <w:t>Quality</w:t>
      </w:r>
      <w:proofErr w:type="spellEnd"/>
      <w:r w:rsidRPr="00E81D58">
        <w:t xml:space="preserve"> Assurance Authority (NQAA) på </w:t>
      </w:r>
      <w:r w:rsidR="00036230">
        <w:t>L</w:t>
      </w:r>
      <w:r w:rsidRPr="00E81D58">
        <w:t xml:space="preserve">everandørens eller underleverandørens adresse, og dette sted ligger i et NATO-land, kan FMI uddelegere opgaven til NQAA i dette land i henhold til STANAG 4107. Ved alle forhold i forbindelse med </w:t>
      </w:r>
      <w:r w:rsidR="002E2F18">
        <w:t>Kontrakten</w:t>
      </w:r>
      <w:r w:rsidRPr="00E81D58">
        <w:t xml:space="preserve"> skal NQAA/GQAR betragtes og behandles som FMI’s personale.</w:t>
      </w:r>
    </w:p>
    <w:p w:rsidR="00605A52" w:rsidRPr="00E81D58" w:rsidRDefault="00605A52" w:rsidP="00605A52"/>
    <w:p w:rsidR="00605A52" w:rsidRPr="00E81D58" w:rsidRDefault="00605A52" w:rsidP="00605A52">
      <w:r w:rsidRPr="00E81D58">
        <w:t xml:space="preserve">NQAA/GQAR har ikke ret til at påtage sig forpligtelser på FMI’s vegne, herunder, men ikke begrænset til, godkendelse af arbejde, prøver eller andre produkter, der kan betyde yderligere udgifter for FMI, eller som kan ændre de forpligtelser, der er anført i </w:t>
      </w:r>
      <w:r w:rsidR="002E2F18">
        <w:t>Kontrakten</w:t>
      </w:r>
      <w:r w:rsidRPr="00E81D58">
        <w:t xml:space="preserve"> og bilagene.</w:t>
      </w:r>
    </w:p>
    <w:p w:rsidR="00605A52" w:rsidRPr="00E81D58" w:rsidRDefault="00605A52" w:rsidP="00605A52"/>
    <w:p w:rsidR="00605A52" w:rsidRPr="00E81D58" w:rsidRDefault="00605A52" w:rsidP="00605A52">
      <w:r w:rsidRPr="00E81D58">
        <w:t xml:space="preserve">Leverandøren fremlægger på leveringstidspunktet </w:t>
      </w:r>
      <w:r w:rsidR="002E2F18">
        <w:t>D</w:t>
      </w:r>
      <w:r w:rsidRPr="00E81D58">
        <w:t xml:space="preserve">okumentation for, at dele, komponenter, halvfærdige emner eller arbejde er i overensstemmelse med de krav, der er anført i </w:t>
      </w:r>
      <w:r w:rsidR="002E2F18">
        <w:t>Kontrakten</w:t>
      </w:r>
      <w:r w:rsidRPr="00E81D58">
        <w:t xml:space="preserve">. Leverandøren udfærdiger og underskriver et Certificate of </w:t>
      </w:r>
      <w:proofErr w:type="spellStart"/>
      <w:r w:rsidRPr="00E81D58">
        <w:t>Conformity</w:t>
      </w:r>
      <w:proofErr w:type="spellEnd"/>
      <w:r w:rsidRPr="00E81D58">
        <w:t xml:space="preserve"> (</w:t>
      </w:r>
      <w:proofErr w:type="spellStart"/>
      <w:r w:rsidRPr="00E81D58">
        <w:t>CoC</w:t>
      </w:r>
      <w:proofErr w:type="spellEnd"/>
      <w:r w:rsidRPr="00E81D58">
        <w:t xml:space="preserve">), der bekræfter, at produkterne er i overensstemmelse med kravene i </w:t>
      </w:r>
      <w:r w:rsidR="002E2F18">
        <w:t>Kontrakten</w:t>
      </w:r>
      <w:r w:rsidRPr="00E81D58">
        <w:t xml:space="preserve">. </w:t>
      </w:r>
    </w:p>
    <w:p w:rsidR="00605A52" w:rsidRPr="00E81D58" w:rsidRDefault="00605A52" w:rsidP="00605A52"/>
    <w:p w:rsidR="00605A52" w:rsidRPr="00E81D58" w:rsidRDefault="00605A52" w:rsidP="00605A52">
      <w:r w:rsidRPr="00E81D58">
        <w:t xml:space="preserve">Hvis der anmodes om det, skal </w:t>
      </w:r>
      <w:proofErr w:type="spellStart"/>
      <w:r w:rsidRPr="00E81D58">
        <w:t>CoC</w:t>
      </w:r>
      <w:proofErr w:type="spellEnd"/>
      <w:r w:rsidRPr="00E81D58">
        <w:t xml:space="preserve"> fremlægges for FMI eller </w:t>
      </w:r>
      <w:proofErr w:type="spellStart"/>
      <w:r w:rsidRPr="00E81D58">
        <w:t>Government</w:t>
      </w:r>
      <w:proofErr w:type="spellEnd"/>
      <w:r w:rsidRPr="00E81D58">
        <w:t xml:space="preserve"> </w:t>
      </w:r>
      <w:proofErr w:type="spellStart"/>
      <w:r w:rsidRPr="00E81D58">
        <w:t>Quality</w:t>
      </w:r>
      <w:proofErr w:type="spellEnd"/>
      <w:r w:rsidRPr="00E81D58">
        <w:t xml:space="preserve"> Assurance </w:t>
      </w:r>
      <w:proofErr w:type="spellStart"/>
      <w:r w:rsidRPr="00E81D58">
        <w:t>Representative</w:t>
      </w:r>
      <w:proofErr w:type="spellEnd"/>
      <w:r w:rsidRPr="00E81D58">
        <w:t xml:space="preserve"> (GQAR). Hvis FMI eller GQAR kan godkende </w:t>
      </w:r>
      <w:r w:rsidR="002E2F18">
        <w:t>P</w:t>
      </w:r>
      <w:r w:rsidRPr="00E81D58">
        <w:t xml:space="preserve">rodukterne efter verificering af attesten, kontrasignerer denne </w:t>
      </w:r>
      <w:proofErr w:type="spellStart"/>
      <w:r w:rsidRPr="00E81D58">
        <w:t>CoC</w:t>
      </w:r>
      <w:proofErr w:type="spellEnd"/>
      <w:r w:rsidRPr="00E81D58">
        <w:t xml:space="preserve"> for at bekræfte, at der er foretaget </w:t>
      </w:r>
      <w:proofErr w:type="spellStart"/>
      <w:r w:rsidRPr="00E81D58">
        <w:t>Government</w:t>
      </w:r>
      <w:proofErr w:type="spellEnd"/>
      <w:r w:rsidRPr="00E81D58">
        <w:t xml:space="preserve"> </w:t>
      </w:r>
      <w:proofErr w:type="spellStart"/>
      <w:r w:rsidRPr="00E81D58">
        <w:t>Quality</w:t>
      </w:r>
      <w:proofErr w:type="spellEnd"/>
      <w:r w:rsidRPr="00E81D58">
        <w:t xml:space="preserve"> Assurance af produkterne. En kopi af den underskrevne </w:t>
      </w:r>
      <w:proofErr w:type="spellStart"/>
      <w:r w:rsidRPr="00E81D58">
        <w:t>CoC</w:t>
      </w:r>
      <w:proofErr w:type="spellEnd"/>
      <w:r w:rsidRPr="00E81D58">
        <w:t xml:space="preserve"> skal følge produkterne til </w:t>
      </w:r>
      <w:r w:rsidR="002E2F18">
        <w:t>L</w:t>
      </w:r>
      <w:r w:rsidRPr="00E81D58">
        <w:t>everingsstedet.</w:t>
      </w:r>
    </w:p>
    <w:p w:rsidR="00605A52" w:rsidRPr="00E81D58" w:rsidRDefault="00605A52" w:rsidP="00605A52">
      <w:pPr>
        <w:keepNext/>
        <w:tabs>
          <w:tab w:val="clear" w:pos="567"/>
          <w:tab w:val="clear" w:pos="1134"/>
          <w:tab w:val="clear" w:pos="1701"/>
        </w:tabs>
        <w:spacing w:before="300" w:after="240"/>
        <w:jc w:val="left"/>
        <w:outlineLvl w:val="8"/>
      </w:pPr>
      <w:r w:rsidRPr="00E81D58">
        <w:lastRenderedPageBreak/>
        <w:t xml:space="preserve">En GQAR-kontrasignatur fritager på ingen måde leverandøren for dennes ansvar for at opfylde alle </w:t>
      </w:r>
      <w:r w:rsidR="002E2F18">
        <w:t>Kontraktens</w:t>
      </w:r>
      <w:r w:rsidRPr="00E81D58">
        <w:t xml:space="preserve"> kvalitetskrav.</w:t>
      </w:r>
      <w:bookmarkStart w:id="1" w:name="StartHere"/>
      <w:bookmarkEnd w:id="1"/>
    </w:p>
    <w:p w:rsidR="0036038E" w:rsidRPr="00E81D58" w:rsidRDefault="0036038E" w:rsidP="0040730F">
      <w:pPr>
        <w:keepNext/>
        <w:tabs>
          <w:tab w:val="clear" w:pos="567"/>
          <w:tab w:val="clear" w:pos="1134"/>
          <w:tab w:val="clear" w:pos="1701"/>
        </w:tabs>
        <w:spacing w:before="300" w:after="240"/>
        <w:jc w:val="center"/>
        <w:outlineLvl w:val="8"/>
      </w:pPr>
    </w:p>
    <w:sectPr w:rsidR="0036038E" w:rsidRPr="00E81D58" w:rsidSect="00495A9C">
      <w:headerReference w:type="default" r:id="rId9"/>
      <w:footerReference w:type="default" r:id="rId10"/>
      <w:headerReference w:type="first" r:id="rId11"/>
      <w:footerReference w:type="first" r:id="rId12"/>
      <w:pgSz w:w="11906" w:h="16838" w:code="9"/>
      <w:pgMar w:top="2268" w:right="1531" w:bottom="1134" w:left="153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62F" w:rsidRDefault="00D7762F" w:rsidP="00914755">
      <w:pPr>
        <w:ind w:right="1957"/>
      </w:pPr>
      <w:r>
        <w:separator/>
      </w:r>
    </w:p>
  </w:endnote>
  <w:endnote w:type="continuationSeparator" w:id="0">
    <w:p w:rsidR="00D7762F" w:rsidRDefault="00D7762F" w:rsidP="00914755">
      <w:pPr>
        <w:ind w:right="19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2F" w:rsidRPr="000F2698" w:rsidRDefault="00D7762F" w:rsidP="00495A9C">
    <w:pPr>
      <w:tabs>
        <w:tab w:val="clear" w:pos="567"/>
        <w:tab w:val="clear" w:pos="1134"/>
        <w:tab w:val="clear" w:pos="1701"/>
        <w:tab w:val="center" w:pos="4820"/>
        <w:tab w:val="right" w:pos="8789"/>
      </w:tabs>
      <w:spacing w:line="240" w:lineRule="auto"/>
      <w:jc w:val="left"/>
      <w:rPr>
        <w:rFonts w:asciiTheme="minorHAnsi" w:hAnsiTheme="minorHAnsi"/>
        <w:sz w:val="16"/>
        <w:szCs w:val="18"/>
      </w:rPr>
    </w:pPr>
    <w:r w:rsidRPr="000F2698">
      <w:rPr>
        <w:rFonts w:asciiTheme="minorHAnsi" w:hAnsiTheme="minorHAnsi"/>
        <w:sz w:val="16"/>
        <w:szCs w:val="18"/>
      </w:rPr>
      <w:t>Kontrakt nr. 460000</w:t>
    </w:r>
    <w:r w:rsidRPr="000F2698">
      <w:rPr>
        <w:rFonts w:asciiTheme="minorHAnsi" w:hAnsiTheme="minorHAnsi"/>
        <w:sz w:val="16"/>
        <w:szCs w:val="18"/>
        <w:highlight w:val="yellow"/>
      </w:rPr>
      <w:t>XXXX</w:t>
    </w:r>
    <w:r w:rsidRPr="000F2698">
      <w:rPr>
        <w:rFonts w:asciiTheme="minorHAnsi" w:hAnsiTheme="minorHAnsi"/>
        <w:sz w:val="16"/>
        <w:szCs w:val="18"/>
      </w:rPr>
      <w:t xml:space="preserve"> </w:t>
    </w:r>
    <w:r w:rsidRPr="000F2698">
      <w:rPr>
        <w:rFonts w:asciiTheme="minorHAnsi" w:hAnsiTheme="minorHAnsi"/>
        <w:sz w:val="16"/>
        <w:szCs w:val="18"/>
      </w:rPr>
      <w:tab/>
    </w:r>
    <w:r w:rsidRPr="000F2698">
      <w:rPr>
        <w:rFonts w:asciiTheme="minorHAnsi" w:hAnsiTheme="minorHAnsi"/>
        <w:sz w:val="16"/>
        <w:szCs w:val="18"/>
      </w:rPr>
      <w:tab/>
      <w:t xml:space="preserve">Side </w:t>
    </w:r>
    <w:r w:rsidR="00A03419" w:rsidRPr="000F2698">
      <w:rPr>
        <w:rFonts w:asciiTheme="minorHAnsi" w:hAnsiTheme="minorHAnsi" w:cs="Arial"/>
        <w:sz w:val="16"/>
        <w:szCs w:val="18"/>
      </w:rPr>
      <w:fldChar w:fldCharType="begin"/>
    </w:r>
    <w:r w:rsidRPr="000F2698">
      <w:rPr>
        <w:rFonts w:asciiTheme="minorHAnsi" w:hAnsiTheme="minorHAnsi" w:cs="Arial"/>
        <w:sz w:val="16"/>
        <w:szCs w:val="18"/>
      </w:rPr>
      <w:instrText xml:space="preserve"> PAGE </w:instrText>
    </w:r>
    <w:r w:rsidR="00A03419" w:rsidRPr="000F2698">
      <w:rPr>
        <w:rFonts w:asciiTheme="minorHAnsi" w:hAnsiTheme="minorHAnsi" w:cs="Arial"/>
        <w:sz w:val="16"/>
        <w:szCs w:val="18"/>
      </w:rPr>
      <w:fldChar w:fldCharType="separate"/>
    </w:r>
    <w:r w:rsidR="007703EB">
      <w:rPr>
        <w:rFonts w:asciiTheme="minorHAnsi" w:hAnsiTheme="minorHAnsi" w:cs="Arial"/>
        <w:noProof/>
        <w:sz w:val="16"/>
        <w:szCs w:val="18"/>
      </w:rPr>
      <w:t>2</w:t>
    </w:r>
    <w:r w:rsidR="00A03419" w:rsidRPr="000F2698">
      <w:rPr>
        <w:rFonts w:asciiTheme="minorHAnsi" w:hAnsiTheme="minorHAnsi" w:cs="Arial"/>
        <w:sz w:val="16"/>
        <w:szCs w:val="18"/>
      </w:rPr>
      <w:fldChar w:fldCharType="end"/>
    </w:r>
    <w:r w:rsidRPr="000F2698">
      <w:rPr>
        <w:rFonts w:asciiTheme="minorHAnsi" w:hAnsiTheme="minorHAnsi"/>
        <w:sz w:val="16"/>
        <w:szCs w:val="18"/>
      </w:rPr>
      <w:t xml:space="preserve"> af </w:t>
    </w:r>
    <w:r w:rsidR="00A03419" w:rsidRPr="000F2698">
      <w:rPr>
        <w:rFonts w:asciiTheme="minorHAnsi" w:hAnsiTheme="minorHAnsi" w:cs="Arial"/>
        <w:sz w:val="16"/>
        <w:szCs w:val="18"/>
      </w:rPr>
      <w:fldChar w:fldCharType="begin"/>
    </w:r>
    <w:r w:rsidRPr="000F2698">
      <w:rPr>
        <w:rFonts w:asciiTheme="minorHAnsi" w:hAnsiTheme="minorHAnsi" w:cs="Arial"/>
        <w:sz w:val="16"/>
        <w:szCs w:val="18"/>
      </w:rPr>
      <w:instrText xml:space="preserve"> NUMPAGES </w:instrText>
    </w:r>
    <w:r w:rsidR="00A03419" w:rsidRPr="000F2698">
      <w:rPr>
        <w:rFonts w:asciiTheme="minorHAnsi" w:hAnsiTheme="minorHAnsi" w:cs="Arial"/>
        <w:sz w:val="16"/>
        <w:szCs w:val="18"/>
      </w:rPr>
      <w:fldChar w:fldCharType="separate"/>
    </w:r>
    <w:r w:rsidR="007703EB">
      <w:rPr>
        <w:rFonts w:asciiTheme="minorHAnsi" w:hAnsiTheme="minorHAnsi" w:cs="Arial"/>
        <w:noProof/>
        <w:sz w:val="16"/>
        <w:szCs w:val="18"/>
      </w:rPr>
      <w:t>5</w:t>
    </w:r>
    <w:r w:rsidR="00A03419" w:rsidRPr="000F2698">
      <w:rPr>
        <w:rFonts w:asciiTheme="minorHAnsi" w:hAnsiTheme="minorHAnsi" w:cs="Arial"/>
        <w:sz w:val="16"/>
        <w:szCs w:val="18"/>
      </w:rPr>
      <w:fldChar w:fldCharType="end"/>
    </w:r>
  </w:p>
  <w:p w:rsidR="00D7762F" w:rsidRPr="00AC05DF" w:rsidRDefault="00D7762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2F" w:rsidRPr="001B70DE" w:rsidRDefault="00D7762F" w:rsidP="001B70DE">
    <w:pPr>
      <w:tabs>
        <w:tab w:val="clear" w:pos="567"/>
        <w:tab w:val="clear" w:pos="1134"/>
        <w:tab w:val="clear" w:pos="1701"/>
        <w:tab w:val="right" w:pos="8789"/>
      </w:tabs>
      <w:spacing w:line="240" w:lineRule="auto"/>
      <w:jc w:val="center"/>
      <w:rPr>
        <w:rFonts w:ascii="Arial" w:hAnsi="Arial"/>
        <w:sz w:val="16"/>
        <w:szCs w:val="18"/>
      </w:rPr>
    </w:pPr>
    <w:r>
      <w:rPr>
        <w:rFonts w:ascii="Arial" w:hAnsi="Arial"/>
        <w:sz w:val="16"/>
        <w:szCs w:val="18"/>
      </w:rPr>
      <w:t>Kontrakt nr. 460000</w:t>
    </w:r>
    <w:r>
      <w:rPr>
        <w:rFonts w:ascii="Arial" w:hAnsi="Arial"/>
        <w:sz w:val="16"/>
        <w:szCs w:val="18"/>
        <w:highlight w:val="yellow"/>
      </w:rPr>
      <w:t>XXXX</w:t>
    </w:r>
    <w:r>
      <w:rPr>
        <w:rFonts w:ascii="Arial" w:hAnsi="Arial"/>
        <w:sz w:val="16"/>
        <w:szCs w:val="18"/>
      </w:rPr>
      <w:t xml:space="preserve"> </w:t>
    </w:r>
    <w:r>
      <w:rPr>
        <w:rFonts w:ascii="Arial" w:hAnsi="Arial"/>
        <w:sz w:val="16"/>
        <w:szCs w:val="18"/>
      </w:rPr>
      <w:tab/>
      <w:t xml:space="preserve">Side </w:t>
    </w:r>
    <w:r w:rsidR="00A03419" w:rsidRPr="001B70DE">
      <w:rPr>
        <w:rFonts w:ascii="Arial" w:hAnsi="Arial" w:cs="Arial"/>
        <w:sz w:val="16"/>
        <w:szCs w:val="18"/>
      </w:rPr>
      <w:fldChar w:fldCharType="begin"/>
    </w:r>
    <w:r w:rsidRPr="000D0CA6">
      <w:rPr>
        <w:rFonts w:ascii="Arial" w:hAnsi="Arial" w:cs="Arial"/>
        <w:sz w:val="16"/>
        <w:szCs w:val="18"/>
      </w:rPr>
      <w:instrText xml:space="preserve"> PAGE </w:instrText>
    </w:r>
    <w:r w:rsidR="00A03419" w:rsidRPr="001B70DE">
      <w:rPr>
        <w:rFonts w:ascii="Arial" w:hAnsi="Arial" w:cs="Arial"/>
        <w:sz w:val="16"/>
        <w:szCs w:val="18"/>
      </w:rPr>
      <w:fldChar w:fldCharType="separate"/>
    </w:r>
    <w:r w:rsidRPr="000D0CA6">
      <w:rPr>
        <w:rFonts w:ascii="Arial" w:hAnsi="Arial" w:cs="Arial"/>
        <w:sz w:val="16"/>
        <w:szCs w:val="18"/>
      </w:rPr>
      <w:t>1</w:t>
    </w:r>
    <w:r w:rsidR="00A03419" w:rsidRPr="001B70DE">
      <w:rPr>
        <w:rFonts w:ascii="Arial" w:hAnsi="Arial" w:cs="Arial"/>
        <w:sz w:val="16"/>
        <w:szCs w:val="18"/>
      </w:rPr>
      <w:fldChar w:fldCharType="end"/>
    </w:r>
    <w:r>
      <w:rPr>
        <w:rFonts w:ascii="Arial" w:hAnsi="Arial"/>
        <w:sz w:val="16"/>
        <w:szCs w:val="18"/>
      </w:rPr>
      <w:t xml:space="preserve"> af </w:t>
    </w:r>
    <w:r w:rsidR="00A03419" w:rsidRPr="001B70DE">
      <w:rPr>
        <w:rFonts w:ascii="Arial" w:hAnsi="Arial" w:cs="Arial"/>
        <w:sz w:val="16"/>
        <w:szCs w:val="18"/>
      </w:rPr>
      <w:fldChar w:fldCharType="begin"/>
    </w:r>
    <w:r w:rsidRPr="000D0CA6">
      <w:rPr>
        <w:rFonts w:ascii="Arial" w:hAnsi="Arial" w:cs="Arial"/>
        <w:sz w:val="16"/>
        <w:szCs w:val="18"/>
      </w:rPr>
      <w:instrText xml:space="preserve"> NUMPAGES </w:instrText>
    </w:r>
    <w:r w:rsidR="00A03419" w:rsidRPr="001B70DE">
      <w:rPr>
        <w:rFonts w:ascii="Arial" w:hAnsi="Arial" w:cs="Arial"/>
        <w:sz w:val="16"/>
        <w:szCs w:val="18"/>
      </w:rPr>
      <w:fldChar w:fldCharType="separate"/>
    </w:r>
    <w:r>
      <w:rPr>
        <w:rFonts w:ascii="Arial" w:hAnsi="Arial" w:cs="Arial"/>
        <w:sz w:val="16"/>
        <w:szCs w:val="18"/>
      </w:rPr>
      <w:t>1</w:t>
    </w:r>
    <w:r w:rsidR="00A03419" w:rsidRPr="001B70DE">
      <w:rPr>
        <w:rFonts w:ascii="Arial" w:hAnsi="Arial" w:cs="Arial"/>
        <w:sz w:val="16"/>
        <w:szCs w:val="18"/>
      </w:rPr>
      <w:fldChar w:fldCharType="end"/>
    </w:r>
  </w:p>
  <w:p w:rsidR="00D7762F" w:rsidRPr="00AC05DF" w:rsidRDefault="00D7762F" w:rsidP="001B70DE">
    <w:pPr>
      <w:pStyle w:val="Sidefod"/>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62F" w:rsidRDefault="00D7762F" w:rsidP="00914755">
      <w:pPr>
        <w:ind w:right="1957"/>
      </w:pPr>
      <w:r>
        <w:separator/>
      </w:r>
    </w:p>
  </w:footnote>
  <w:footnote w:type="continuationSeparator" w:id="0">
    <w:p w:rsidR="00D7762F" w:rsidRDefault="00D7762F" w:rsidP="00914755">
      <w:pPr>
        <w:ind w:right="195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1633"/>
      <w:gridCol w:w="6108"/>
      <w:gridCol w:w="1319"/>
    </w:tblGrid>
    <w:tr w:rsidR="00D7762F" w:rsidRPr="009F018E" w:rsidTr="00A539B3">
      <w:tc>
        <w:tcPr>
          <w:tcW w:w="1719" w:type="dxa"/>
          <w:vAlign w:val="center"/>
        </w:tcPr>
        <w:p w:rsidR="00D7762F" w:rsidRDefault="00D7762F" w:rsidP="00495A9C">
          <w:pPr>
            <w:spacing w:line="240" w:lineRule="auto"/>
            <w:jc w:val="center"/>
            <w:rPr>
              <w:sz w:val="16"/>
              <w:szCs w:val="16"/>
              <w:u w:val="single"/>
            </w:rPr>
          </w:pPr>
          <w:r w:rsidRPr="00D7762F">
            <w:rPr>
              <w:noProof/>
              <w:sz w:val="16"/>
              <w:szCs w:val="16"/>
              <w:u w:val="single"/>
            </w:rPr>
            <w:drawing>
              <wp:anchor distT="0" distB="0" distL="114300" distR="114300" simplePos="0" relativeHeight="251659264" behindDoc="0" locked="0" layoutInCell="1" allowOverlap="1">
                <wp:simplePos x="0" y="0"/>
                <wp:positionH relativeFrom="column">
                  <wp:posOffset>2540</wp:posOffset>
                </wp:positionH>
                <wp:positionV relativeFrom="paragraph">
                  <wp:posOffset>-315595</wp:posOffset>
                </wp:positionV>
                <wp:extent cx="4483100" cy="1200785"/>
                <wp:effectExtent l="0" t="0" r="0" b="0"/>
                <wp:wrapNone/>
                <wp:docPr id="1" name="Billede 5" descr="FMI_Sor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I_Sort_RGB.png"/>
                        <pic:cNvPicPr/>
                      </pic:nvPicPr>
                      <pic:blipFill>
                        <a:blip r:embed="rId1"/>
                        <a:srcRect l="10243"/>
                        <a:stretch>
                          <a:fillRect/>
                        </a:stretch>
                      </pic:blipFill>
                      <pic:spPr>
                        <a:xfrm>
                          <a:off x="0" y="0"/>
                          <a:ext cx="4483100" cy="1200785"/>
                        </a:xfrm>
                        <a:prstGeom prst="rect">
                          <a:avLst/>
                        </a:prstGeom>
                      </pic:spPr>
                    </pic:pic>
                  </a:graphicData>
                </a:graphic>
              </wp:anchor>
            </w:drawing>
          </w:r>
        </w:p>
        <w:p w:rsidR="00D7762F" w:rsidRDefault="00D7762F" w:rsidP="00495A9C">
          <w:pPr>
            <w:spacing w:line="240" w:lineRule="auto"/>
            <w:jc w:val="center"/>
            <w:rPr>
              <w:sz w:val="16"/>
              <w:szCs w:val="16"/>
              <w:u w:val="single"/>
            </w:rPr>
          </w:pPr>
        </w:p>
        <w:p w:rsidR="00D7762F" w:rsidRDefault="00D7762F" w:rsidP="00495A9C">
          <w:pPr>
            <w:spacing w:line="240" w:lineRule="auto"/>
            <w:jc w:val="center"/>
            <w:rPr>
              <w:sz w:val="16"/>
              <w:szCs w:val="16"/>
              <w:u w:val="single"/>
            </w:rPr>
          </w:pPr>
        </w:p>
        <w:p w:rsidR="00D7762F" w:rsidRDefault="00D7762F" w:rsidP="00495A9C">
          <w:pPr>
            <w:spacing w:line="240" w:lineRule="auto"/>
            <w:jc w:val="center"/>
            <w:rPr>
              <w:sz w:val="16"/>
              <w:szCs w:val="16"/>
              <w:u w:val="single"/>
            </w:rPr>
          </w:pPr>
        </w:p>
        <w:p w:rsidR="00D7762F" w:rsidRDefault="00D7762F" w:rsidP="00495A9C">
          <w:pPr>
            <w:spacing w:line="240" w:lineRule="auto"/>
            <w:jc w:val="center"/>
            <w:rPr>
              <w:sz w:val="16"/>
              <w:szCs w:val="16"/>
              <w:u w:val="single"/>
            </w:rPr>
          </w:pPr>
        </w:p>
        <w:p w:rsidR="00D7762F" w:rsidRPr="001B70DE" w:rsidRDefault="00D7762F" w:rsidP="00495A9C">
          <w:pPr>
            <w:spacing w:line="240" w:lineRule="auto"/>
            <w:jc w:val="center"/>
            <w:rPr>
              <w:sz w:val="16"/>
              <w:szCs w:val="16"/>
              <w:u w:val="single"/>
            </w:rPr>
          </w:pPr>
        </w:p>
      </w:tc>
      <w:tc>
        <w:tcPr>
          <w:tcW w:w="6466" w:type="dxa"/>
          <w:vAlign w:val="center"/>
        </w:tcPr>
        <w:p w:rsidR="00D7762F" w:rsidRPr="000D0CA6" w:rsidRDefault="00D7762F" w:rsidP="00495A9C">
          <w:pPr>
            <w:spacing w:line="240" w:lineRule="auto"/>
            <w:jc w:val="center"/>
            <w:rPr>
              <w:sz w:val="28"/>
              <w:szCs w:val="28"/>
              <w:u w:val="single"/>
              <w:lang w:val="en-US"/>
            </w:rPr>
          </w:pPr>
        </w:p>
      </w:tc>
      <w:tc>
        <w:tcPr>
          <w:tcW w:w="1386" w:type="dxa"/>
          <w:vAlign w:val="center"/>
        </w:tcPr>
        <w:p w:rsidR="00D7762F" w:rsidRPr="000D0CA6" w:rsidRDefault="00D7762F" w:rsidP="00495A9C">
          <w:pPr>
            <w:spacing w:line="240" w:lineRule="auto"/>
            <w:jc w:val="center"/>
            <w:rPr>
              <w:sz w:val="16"/>
              <w:szCs w:val="16"/>
              <w:u w:val="single"/>
              <w:lang w:val="en-US"/>
            </w:rPr>
          </w:pPr>
        </w:p>
      </w:tc>
    </w:tr>
  </w:tbl>
  <w:p w:rsidR="00D7762F" w:rsidRPr="000D0CA6" w:rsidRDefault="00D7762F">
    <w:pPr>
      <w:pStyle w:val="Sidehoved"/>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1690"/>
      <w:gridCol w:w="5993"/>
      <w:gridCol w:w="1377"/>
    </w:tblGrid>
    <w:tr w:rsidR="00D7762F" w:rsidRPr="001B70DE" w:rsidTr="00A539B3">
      <w:tc>
        <w:tcPr>
          <w:tcW w:w="1719" w:type="dxa"/>
          <w:vAlign w:val="center"/>
        </w:tcPr>
        <w:p w:rsidR="00D7762F" w:rsidRPr="001B70DE" w:rsidRDefault="00D7762F" w:rsidP="001B70DE">
          <w:pPr>
            <w:spacing w:line="240" w:lineRule="auto"/>
            <w:jc w:val="center"/>
            <w:rPr>
              <w:sz w:val="16"/>
              <w:szCs w:val="16"/>
              <w:u w:val="single"/>
            </w:rPr>
          </w:pPr>
          <w:r>
            <w:rPr>
              <w:rFonts w:ascii="Verdana" w:hAnsi="Verdana"/>
              <w:noProof/>
            </w:rPr>
            <w:drawing>
              <wp:inline distT="0" distB="0" distL="0" distR="0">
                <wp:extent cx="806450" cy="1022350"/>
                <wp:effectExtent l="19050" t="0" r="0" b="0"/>
                <wp:docPr id="11" name="Billede 11" descr="Fmr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rke_logo"/>
                        <pic:cNvPicPr>
                          <a:picLocks noChangeAspect="1" noChangeArrowheads="1"/>
                        </pic:cNvPicPr>
                      </pic:nvPicPr>
                      <pic:blipFill>
                        <a:blip r:embed="rId1"/>
                        <a:srcRect/>
                        <a:stretch>
                          <a:fillRect/>
                        </a:stretch>
                      </pic:blipFill>
                      <pic:spPr bwMode="auto">
                        <a:xfrm>
                          <a:off x="0" y="0"/>
                          <a:ext cx="806450" cy="1022350"/>
                        </a:xfrm>
                        <a:prstGeom prst="rect">
                          <a:avLst/>
                        </a:prstGeom>
                        <a:noFill/>
                        <a:ln w="9525">
                          <a:noFill/>
                          <a:miter lim="800000"/>
                          <a:headEnd/>
                          <a:tailEnd/>
                        </a:ln>
                      </pic:spPr>
                    </pic:pic>
                  </a:graphicData>
                </a:graphic>
              </wp:inline>
            </w:drawing>
          </w:r>
        </w:p>
      </w:tc>
      <w:tc>
        <w:tcPr>
          <w:tcW w:w="6466" w:type="dxa"/>
          <w:vAlign w:val="center"/>
        </w:tcPr>
        <w:p w:rsidR="00D7762F" w:rsidRPr="000D0CA6" w:rsidRDefault="00D7762F" w:rsidP="001B70DE">
          <w:pPr>
            <w:spacing w:line="240" w:lineRule="auto"/>
            <w:jc w:val="center"/>
            <w:rPr>
              <w:rFonts w:ascii="Arial" w:hAnsi="Arial" w:cs="Arial"/>
              <w:b/>
              <w:sz w:val="28"/>
              <w:szCs w:val="28"/>
            </w:rPr>
          </w:pPr>
          <w:r>
            <w:rPr>
              <w:rFonts w:ascii="Arial" w:hAnsi="Arial"/>
              <w:b/>
              <w:sz w:val="28"/>
              <w:szCs w:val="28"/>
            </w:rPr>
            <w:t xml:space="preserve">Forsvarsministeriets Materiel- og </w:t>
          </w:r>
        </w:p>
        <w:p w:rsidR="00D7762F" w:rsidRPr="000D0CA6" w:rsidRDefault="00D7762F" w:rsidP="001B70DE">
          <w:pPr>
            <w:spacing w:line="240" w:lineRule="auto"/>
            <w:jc w:val="center"/>
            <w:rPr>
              <w:b/>
              <w:sz w:val="40"/>
              <w:szCs w:val="40"/>
            </w:rPr>
          </w:pPr>
          <w:r>
            <w:rPr>
              <w:rFonts w:ascii="Arial" w:hAnsi="Arial"/>
              <w:b/>
              <w:sz w:val="28"/>
              <w:szCs w:val="28"/>
            </w:rPr>
            <w:t>Indkøbsstyrelse</w:t>
          </w:r>
        </w:p>
        <w:p w:rsidR="00D7762F" w:rsidRPr="000D0CA6" w:rsidRDefault="00D7762F" w:rsidP="001B70DE">
          <w:pPr>
            <w:spacing w:line="240" w:lineRule="auto"/>
            <w:jc w:val="center"/>
            <w:rPr>
              <w:sz w:val="28"/>
              <w:szCs w:val="28"/>
              <w:u w:val="single"/>
              <w:lang w:val="en-US"/>
            </w:rPr>
          </w:pPr>
        </w:p>
      </w:tc>
      <w:tc>
        <w:tcPr>
          <w:tcW w:w="1386" w:type="dxa"/>
          <w:vAlign w:val="center"/>
        </w:tcPr>
        <w:p w:rsidR="00D7762F" w:rsidRPr="001B70DE" w:rsidRDefault="00D7762F" w:rsidP="001B70DE">
          <w:pPr>
            <w:spacing w:line="240" w:lineRule="auto"/>
            <w:jc w:val="center"/>
            <w:rPr>
              <w:rFonts w:ascii="Verdana" w:hAnsi="Verdana" w:cs="Arial"/>
            </w:rPr>
          </w:pPr>
          <w:r>
            <w:rPr>
              <w:rFonts w:ascii="Verdana" w:hAnsi="Verdana"/>
              <w:noProof/>
            </w:rPr>
            <w:drawing>
              <wp:inline distT="0" distB="0" distL="0" distR="0">
                <wp:extent cx="679450" cy="1092200"/>
                <wp:effectExtent l="19050" t="0" r="6350" b="0"/>
                <wp:docPr id="12" name="Billede 12" descr="FMT_Logo_guld_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T_Logo_guld_1024x768"/>
                        <pic:cNvPicPr>
                          <a:picLocks noChangeAspect="1" noChangeArrowheads="1"/>
                        </pic:cNvPicPr>
                      </pic:nvPicPr>
                      <pic:blipFill>
                        <a:blip r:embed="rId2"/>
                        <a:srcRect l="25119" r="26900"/>
                        <a:stretch>
                          <a:fillRect/>
                        </a:stretch>
                      </pic:blipFill>
                      <pic:spPr bwMode="auto">
                        <a:xfrm>
                          <a:off x="0" y="0"/>
                          <a:ext cx="679450" cy="1092200"/>
                        </a:xfrm>
                        <a:prstGeom prst="rect">
                          <a:avLst/>
                        </a:prstGeom>
                        <a:noFill/>
                        <a:ln w="9525">
                          <a:noFill/>
                          <a:miter lim="800000"/>
                          <a:headEnd/>
                          <a:tailEnd/>
                        </a:ln>
                      </pic:spPr>
                    </pic:pic>
                  </a:graphicData>
                </a:graphic>
              </wp:inline>
            </w:drawing>
          </w:r>
        </w:p>
        <w:p w:rsidR="00D7762F" w:rsidRPr="001B70DE" w:rsidRDefault="00D7762F" w:rsidP="001B70DE">
          <w:pPr>
            <w:spacing w:line="240" w:lineRule="auto"/>
            <w:jc w:val="center"/>
            <w:rPr>
              <w:sz w:val="16"/>
              <w:szCs w:val="16"/>
              <w:u w:val="single"/>
            </w:rPr>
          </w:pPr>
        </w:p>
      </w:tc>
    </w:tr>
  </w:tbl>
  <w:p w:rsidR="00D7762F" w:rsidRDefault="00D7762F">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C8043B2"/>
    <w:multiLevelType w:val="hybridMultilevel"/>
    <w:tmpl w:val="52FC0F3E"/>
    <w:lvl w:ilvl="0" w:tplc="24A8C614">
      <w:start w:val="1"/>
      <w:numFmt w:val="decimal"/>
      <w:pStyle w:val="Indlg"/>
      <w:lvlText w:val="%1."/>
      <w:lvlJc w:val="left"/>
      <w:pPr>
        <w:ind w:left="153" w:hanging="360"/>
      </w:pPr>
    </w:lvl>
    <w:lvl w:ilvl="1" w:tplc="04060019" w:tentative="1">
      <w:start w:val="1"/>
      <w:numFmt w:val="lowerLetter"/>
      <w:lvlText w:val="%2."/>
      <w:lvlJc w:val="left"/>
      <w:pPr>
        <w:ind w:left="873" w:hanging="360"/>
      </w:pPr>
    </w:lvl>
    <w:lvl w:ilvl="2" w:tplc="0406001B" w:tentative="1">
      <w:start w:val="1"/>
      <w:numFmt w:val="lowerRoman"/>
      <w:lvlText w:val="%3."/>
      <w:lvlJc w:val="right"/>
      <w:pPr>
        <w:ind w:left="1593" w:hanging="180"/>
      </w:pPr>
    </w:lvl>
    <w:lvl w:ilvl="3" w:tplc="0406000F" w:tentative="1">
      <w:start w:val="1"/>
      <w:numFmt w:val="decimal"/>
      <w:lvlText w:val="%4."/>
      <w:lvlJc w:val="left"/>
      <w:pPr>
        <w:ind w:left="2313" w:hanging="360"/>
      </w:pPr>
    </w:lvl>
    <w:lvl w:ilvl="4" w:tplc="04060019" w:tentative="1">
      <w:start w:val="1"/>
      <w:numFmt w:val="lowerLetter"/>
      <w:lvlText w:val="%5."/>
      <w:lvlJc w:val="left"/>
      <w:pPr>
        <w:ind w:left="3033" w:hanging="360"/>
      </w:pPr>
    </w:lvl>
    <w:lvl w:ilvl="5" w:tplc="0406001B" w:tentative="1">
      <w:start w:val="1"/>
      <w:numFmt w:val="lowerRoman"/>
      <w:lvlText w:val="%6."/>
      <w:lvlJc w:val="right"/>
      <w:pPr>
        <w:ind w:left="3753" w:hanging="180"/>
      </w:pPr>
    </w:lvl>
    <w:lvl w:ilvl="6" w:tplc="0406000F" w:tentative="1">
      <w:start w:val="1"/>
      <w:numFmt w:val="decimal"/>
      <w:lvlText w:val="%7."/>
      <w:lvlJc w:val="left"/>
      <w:pPr>
        <w:ind w:left="4473" w:hanging="360"/>
      </w:pPr>
    </w:lvl>
    <w:lvl w:ilvl="7" w:tplc="04060019" w:tentative="1">
      <w:start w:val="1"/>
      <w:numFmt w:val="lowerLetter"/>
      <w:lvlText w:val="%8."/>
      <w:lvlJc w:val="left"/>
      <w:pPr>
        <w:ind w:left="5193" w:hanging="360"/>
      </w:pPr>
    </w:lvl>
    <w:lvl w:ilvl="8" w:tplc="0406001B" w:tentative="1">
      <w:start w:val="1"/>
      <w:numFmt w:val="lowerRoman"/>
      <w:lvlText w:val="%9."/>
      <w:lvlJc w:val="right"/>
      <w:pPr>
        <w:ind w:left="5913" w:hanging="180"/>
      </w:pPr>
    </w:lvl>
  </w:abstractNum>
  <w:abstractNum w:abstractNumId="11">
    <w:nsid w:val="0E8C3DE0"/>
    <w:multiLevelType w:val="multilevel"/>
    <w:tmpl w:val="C31A766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D722488"/>
    <w:multiLevelType w:val="hybridMultilevel"/>
    <w:tmpl w:val="114A872C"/>
    <w:lvl w:ilvl="0" w:tplc="F7B21DE6">
      <w:start w:val="1"/>
      <w:numFmt w:val="decimal"/>
      <w:lvlText w:val="2.%1"/>
      <w:lvlJc w:val="left"/>
      <w:pPr>
        <w:tabs>
          <w:tab w:val="num" w:pos="1004"/>
        </w:tabs>
        <w:ind w:left="1004" w:hanging="360"/>
      </w:pPr>
    </w:lvl>
    <w:lvl w:ilvl="1" w:tplc="04060019">
      <w:start w:val="1"/>
      <w:numFmt w:val="lowerLetter"/>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3">
    <w:nsid w:val="45463E44"/>
    <w:multiLevelType w:val="hybridMultilevel"/>
    <w:tmpl w:val="D0F4C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8EB19E4"/>
    <w:multiLevelType w:val="multilevel"/>
    <w:tmpl w:val="D9F40978"/>
    <w:lvl w:ilvl="0">
      <w:start w:val="2"/>
      <w:numFmt w:val="decimal"/>
      <w:lvlText w:val="%1"/>
      <w:lvlJc w:val="left"/>
      <w:pPr>
        <w:tabs>
          <w:tab w:val="num" w:pos="360"/>
        </w:tabs>
        <w:ind w:left="360" w:hanging="360"/>
      </w:pPr>
    </w:lvl>
    <w:lvl w:ilvl="1">
      <w:start w:val="9"/>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15">
    <w:nsid w:val="62255FBF"/>
    <w:multiLevelType w:val="hybridMultilevel"/>
    <w:tmpl w:val="25E66B4E"/>
    <w:lvl w:ilvl="0" w:tplc="0406000F">
      <w:start w:val="1"/>
      <w:numFmt w:val="decimal"/>
      <w:lvlText w:val="%1."/>
      <w:lvlJc w:val="left"/>
      <w:pPr>
        <w:tabs>
          <w:tab w:val="num" w:pos="644"/>
        </w:tabs>
        <w:ind w:left="644" w:hanging="360"/>
      </w:pPr>
    </w:lvl>
    <w:lvl w:ilvl="1" w:tplc="04060001">
      <w:start w:val="1"/>
      <w:numFmt w:val="bullet"/>
      <w:lvlText w:val=""/>
      <w:lvlJc w:val="left"/>
      <w:pPr>
        <w:tabs>
          <w:tab w:val="num" w:pos="1440"/>
        </w:tabs>
        <w:ind w:left="1440" w:hanging="360"/>
      </w:pPr>
      <w:rPr>
        <w:rFonts w:ascii="Symbol" w:hAnsi="Symbol" w:hint="default"/>
      </w:rPr>
    </w:lvl>
    <w:lvl w:ilvl="2" w:tplc="0406000F">
      <w:start w:val="1"/>
      <w:numFmt w:val="decimal"/>
      <w:lvlText w:val="%3."/>
      <w:lvlJc w:val="left"/>
      <w:pPr>
        <w:tabs>
          <w:tab w:val="num" w:pos="2340"/>
        </w:tabs>
        <w:ind w:left="234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6">
    <w:nsid w:val="6FEB67C9"/>
    <w:multiLevelType w:val="hybridMultilevel"/>
    <w:tmpl w:val="9FECD3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7EBF2B6A"/>
    <w:multiLevelType w:val="hybridMultilevel"/>
    <w:tmpl w:val="66320B0A"/>
    <w:lvl w:ilvl="0" w:tplc="0406000F">
      <w:start w:val="1"/>
      <w:numFmt w:val="decimal"/>
      <w:lvlText w:val="%1."/>
      <w:lvlJc w:val="left"/>
      <w:pPr>
        <w:ind w:left="2771" w:hanging="360"/>
      </w:pPr>
    </w:lvl>
    <w:lvl w:ilvl="1" w:tplc="04060019" w:tentative="1">
      <w:start w:val="1"/>
      <w:numFmt w:val="lowerLetter"/>
      <w:lvlText w:val="%2."/>
      <w:lvlJc w:val="left"/>
      <w:pPr>
        <w:ind w:left="3491" w:hanging="360"/>
      </w:pPr>
    </w:lvl>
    <w:lvl w:ilvl="2" w:tplc="0406001B" w:tentative="1">
      <w:start w:val="1"/>
      <w:numFmt w:val="lowerRoman"/>
      <w:lvlText w:val="%3."/>
      <w:lvlJc w:val="right"/>
      <w:pPr>
        <w:ind w:left="4211" w:hanging="180"/>
      </w:pPr>
    </w:lvl>
    <w:lvl w:ilvl="3" w:tplc="0406000F" w:tentative="1">
      <w:start w:val="1"/>
      <w:numFmt w:val="decimal"/>
      <w:lvlText w:val="%4."/>
      <w:lvlJc w:val="left"/>
      <w:pPr>
        <w:ind w:left="4931" w:hanging="360"/>
      </w:pPr>
    </w:lvl>
    <w:lvl w:ilvl="4" w:tplc="04060019" w:tentative="1">
      <w:start w:val="1"/>
      <w:numFmt w:val="lowerLetter"/>
      <w:lvlText w:val="%5."/>
      <w:lvlJc w:val="left"/>
      <w:pPr>
        <w:ind w:left="5651" w:hanging="360"/>
      </w:pPr>
    </w:lvl>
    <w:lvl w:ilvl="5" w:tplc="0406001B" w:tentative="1">
      <w:start w:val="1"/>
      <w:numFmt w:val="lowerRoman"/>
      <w:lvlText w:val="%6."/>
      <w:lvlJc w:val="right"/>
      <w:pPr>
        <w:ind w:left="6371" w:hanging="180"/>
      </w:pPr>
    </w:lvl>
    <w:lvl w:ilvl="6" w:tplc="0406000F" w:tentative="1">
      <w:start w:val="1"/>
      <w:numFmt w:val="decimal"/>
      <w:lvlText w:val="%7."/>
      <w:lvlJc w:val="left"/>
      <w:pPr>
        <w:ind w:left="7091" w:hanging="360"/>
      </w:pPr>
    </w:lvl>
    <w:lvl w:ilvl="7" w:tplc="04060019" w:tentative="1">
      <w:start w:val="1"/>
      <w:numFmt w:val="lowerLetter"/>
      <w:lvlText w:val="%8."/>
      <w:lvlJc w:val="left"/>
      <w:pPr>
        <w:ind w:left="7811" w:hanging="360"/>
      </w:pPr>
    </w:lvl>
    <w:lvl w:ilvl="8" w:tplc="0406001B" w:tentative="1">
      <w:start w:val="1"/>
      <w:numFmt w:val="lowerRoman"/>
      <w:lvlText w:val="%9."/>
      <w:lvlJc w:val="right"/>
      <w:pPr>
        <w:ind w:left="853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1"/>
  </w:num>
  <w:num w:numId="14">
    <w:abstractNumId w:val="13"/>
  </w:num>
  <w:num w:numId="15">
    <w:abstractNumId w:val="16"/>
  </w:num>
  <w:num w:numId="16">
    <w:abstractNumId w:val="1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da-DK" w:vendorID="666" w:dllVersion="513" w:checkStyle="1"/>
  <w:activeWritingStyle w:appName="MSWord" w:lang="da-DK"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8548DA"/>
    <w:rsid w:val="00000D14"/>
    <w:rsid w:val="00010640"/>
    <w:rsid w:val="00010D3D"/>
    <w:rsid w:val="000118FC"/>
    <w:rsid w:val="00025EF4"/>
    <w:rsid w:val="000276E4"/>
    <w:rsid w:val="00036230"/>
    <w:rsid w:val="000365E3"/>
    <w:rsid w:val="00036630"/>
    <w:rsid w:val="00036C8D"/>
    <w:rsid w:val="0005077B"/>
    <w:rsid w:val="00053355"/>
    <w:rsid w:val="00061A4E"/>
    <w:rsid w:val="00076055"/>
    <w:rsid w:val="0008454F"/>
    <w:rsid w:val="000A0F96"/>
    <w:rsid w:val="000A2B19"/>
    <w:rsid w:val="000B1AC5"/>
    <w:rsid w:val="000D0CA6"/>
    <w:rsid w:val="000D24F9"/>
    <w:rsid w:val="000E4538"/>
    <w:rsid w:val="000E4C7B"/>
    <w:rsid w:val="000F2698"/>
    <w:rsid w:val="000F46E4"/>
    <w:rsid w:val="0010660A"/>
    <w:rsid w:val="00112C07"/>
    <w:rsid w:val="001149D9"/>
    <w:rsid w:val="00115DD2"/>
    <w:rsid w:val="00140DA2"/>
    <w:rsid w:val="001412D9"/>
    <w:rsid w:val="00144DEA"/>
    <w:rsid w:val="00155B2A"/>
    <w:rsid w:val="001671F2"/>
    <w:rsid w:val="00192B31"/>
    <w:rsid w:val="00193067"/>
    <w:rsid w:val="001A15D0"/>
    <w:rsid w:val="001A5FA5"/>
    <w:rsid w:val="001B2E09"/>
    <w:rsid w:val="001B70DE"/>
    <w:rsid w:val="001C4FC8"/>
    <w:rsid w:val="001C7048"/>
    <w:rsid w:val="001D2FB7"/>
    <w:rsid w:val="001D61C4"/>
    <w:rsid w:val="001E7450"/>
    <w:rsid w:val="002017F6"/>
    <w:rsid w:val="00202262"/>
    <w:rsid w:val="002123C3"/>
    <w:rsid w:val="0021712F"/>
    <w:rsid w:val="002216C3"/>
    <w:rsid w:val="00221CBD"/>
    <w:rsid w:val="002241EC"/>
    <w:rsid w:val="0022504A"/>
    <w:rsid w:val="00233936"/>
    <w:rsid w:val="002354FF"/>
    <w:rsid w:val="0024533A"/>
    <w:rsid w:val="00253E6A"/>
    <w:rsid w:val="00280A9B"/>
    <w:rsid w:val="00285A4F"/>
    <w:rsid w:val="002917FB"/>
    <w:rsid w:val="002928E6"/>
    <w:rsid w:val="002A3E9A"/>
    <w:rsid w:val="002A7543"/>
    <w:rsid w:val="002C41A4"/>
    <w:rsid w:val="002D0869"/>
    <w:rsid w:val="002D41F9"/>
    <w:rsid w:val="002D448F"/>
    <w:rsid w:val="002E2F18"/>
    <w:rsid w:val="003060FD"/>
    <w:rsid w:val="00316E26"/>
    <w:rsid w:val="00322F72"/>
    <w:rsid w:val="0032689C"/>
    <w:rsid w:val="00342653"/>
    <w:rsid w:val="00344873"/>
    <w:rsid w:val="00344D43"/>
    <w:rsid w:val="00346205"/>
    <w:rsid w:val="003574B4"/>
    <w:rsid w:val="003576C1"/>
    <w:rsid w:val="0036038E"/>
    <w:rsid w:val="00364007"/>
    <w:rsid w:val="00365C25"/>
    <w:rsid w:val="00375D2C"/>
    <w:rsid w:val="00383A17"/>
    <w:rsid w:val="00387F8A"/>
    <w:rsid w:val="0039156D"/>
    <w:rsid w:val="00397B93"/>
    <w:rsid w:val="003A2941"/>
    <w:rsid w:val="003A56AD"/>
    <w:rsid w:val="003A6762"/>
    <w:rsid w:val="003A76DF"/>
    <w:rsid w:val="003C7FB7"/>
    <w:rsid w:val="0040730F"/>
    <w:rsid w:val="004317FD"/>
    <w:rsid w:val="00434996"/>
    <w:rsid w:val="0045529A"/>
    <w:rsid w:val="004664C7"/>
    <w:rsid w:val="00470928"/>
    <w:rsid w:val="00475CA3"/>
    <w:rsid w:val="00480627"/>
    <w:rsid w:val="00487877"/>
    <w:rsid w:val="00495A9C"/>
    <w:rsid w:val="004A006D"/>
    <w:rsid w:val="004A3529"/>
    <w:rsid w:val="004B02A2"/>
    <w:rsid w:val="004B19B2"/>
    <w:rsid w:val="004B4CE4"/>
    <w:rsid w:val="004B6F71"/>
    <w:rsid w:val="004D1724"/>
    <w:rsid w:val="004F1CE8"/>
    <w:rsid w:val="004F4EEF"/>
    <w:rsid w:val="004F741A"/>
    <w:rsid w:val="00500436"/>
    <w:rsid w:val="00500E34"/>
    <w:rsid w:val="005104F9"/>
    <w:rsid w:val="00516931"/>
    <w:rsid w:val="00522A61"/>
    <w:rsid w:val="00531CDA"/>
    <w:rsid w:val="00535651"/>
    <w:rsid w:val="00540FEA"/>
    <w:rsid w:val="00552520"/>
    <w:rsid w:val="00553B01"/>
    <w:rsid w:val="0055629F"/>
    <w:rsid w:val="0056154F"/>
    <w:rsid w:val="00566F25"/>
    <w:rsid w:val="005746A2"/>
    <w:rsid w:val="005846EC"/>
    <w:rsid w:val="005923A1"/>
    <w:rsid w:val="00592FA8"/>
    <w:rsid w:val="005B5735"/>
    <w:rsid w:val="005C1CB8"/>
    <w:rsid w:val="005D3BB3"/>
    <w:rsid w:val="005D5EDD"/>
    <w:rsid w:val="005E2B3C"/>
    <w:rsid w:val="00605A52"/>
    <w:rsid w:val="00611245"/>
    <w:rsid w:val="00611E9C"/>
    <w:rsid w:val="00612BD6"/>
    <w:rsid w:val="006134F8"/>
    <w:rsid w:val="0061796F"/>
    <w:rsid w:val="00624632"/>
    <w:rsid w:val="0062792F"/>
    <w:rsid w:val="006349DD"/>
    <w:rsid w:val="006538C7"/>
    <w:rsid w:val="006661C5"/>
    <w:rsid w:val="0067225A"/>
    <w:rsid w:val="006A5A4D"/>
    <w:rsid w:val="006C4883"/>
    <w:rsid w:val="006C66DF"/>
    <w:rsid w:val="006D0857"/>
    <w:rsid w:val="006D7713"/>
    <w:rsid w:val="006E3ACC"/>
    <w:rsid w:val="006F0B74"/>
    <w:rsid w:val="006F2E14"/>
    <w:rsid w:val="00711DDB"/>
    <w:rsid w:val="007122A0"/>
    <w:rsid w:val="007173B4"/>
    <w:rsid w:val="00731A22"/>
    <w:rsid w:val="00742C25"/>
    <w:rsid w:val="0076091E"/>
    <w:rsid w:val="00766BBF"/>
    <w:rsid w:val="007703EB"/>
    <w:rsid w:val="00774694"/>
    <w:rsid w:val="00785BB6"/>
    <w:rsid w:val="00790D1D"/>
    <w:rsid w:val="00792B72"/>
    <w:rsid w:val="007B03AD"/>
    <w:rsid w:val="007B7049"/>
    <w:rsid w:val="007C2018"/>
    <w:rsid w:val="007E4F4C"/>
    <w:rsid w:val="007F1664"/>
    <w:rsid w:val="007F5A58"/>
    <w:rsid w:val="00805633"/>
    <w:rsid w:val="008102AB"/>
    <w:rsid w:val="00812AD8"/>
    <w:rsid w:val="00816DAC"/>
    <w:rsid w:val="00821221"/>
    <w:rsid w:val="008236D7"/>
    <w:rsid w:val="00826D42"/>
    <w:rsid w:val="00833F17"/>
    <w:rsid w:val="00847405"/>
    <w:rsid w:val="00851B3F"/>
    <w:rsid w:val="008520C1"/>
    <w:rsid w:val="008548DA"/>
    <w:rsid w:val="00856B5D"/>
    <w:rsid w:val="0086078B"/>
    <w:rsid w:val="00863353"/>
    <w:rsid w:val="00863A94"/>
    <w:rsid w:val="008A2868"/>
    <w:rsid w:val="008B3515"/>
    <w:rsid w:val="008C2ACD"/>
    <w:rsid w:val="008C4D70"/>
    <w:rsid w:val="008E5E29"/>
    <w:rsid w:val="008E638B"/>
    <w:rsid w:val="00907E9A"/>
    <w:rsid w:val="00914755"/>
    <w:rsid w:val="00916037"/>
    <w:rsid w:val="00916D31"/>
    <w:rsid w:val="009436A6"/>
    <w:rsid w:val="009447A4"/>
    <w:rsid w:val="009521AE"/>
    <w:rsid w:val="00954A69"/>
    <w:rsid w:val="00955A56"/>
    <w:rsid w:val="00956B4D"/>
    <w:rsid w:val="00957FD7"/>
    <w:rsid w:val="00965CF5"/>
    <w:rsid w:val="00985CF0"/>
    <w:rsid w:val="00991295"/>
    <w:rsid w:val="009A046F"/>
    <w:rsid w:val="009A35B9"/>
    <w:rsid w:val="009A364F"/>
    <w:rsid w:val="009A53F1"/>
    <w:rsid w:val="009A6C53"/>
    <w:rsid w:val="009B1DE3"/>
    <w:rsid w:val="009D5836"/>
    <w:rsid w:val="009F018E"/>
    <w:rsid w:val="009F59BE"/>
    <w:rsid w:val="00A03419"/>
    <w:rsid w:val="00A0477B"/>
    <w:rsid w:val="00A04F87"/>
    <w:rsid w:val="00A06E5A"/>
    <w:rsid w:val="00A1275B"/>
    <w:rsid w:val="00A26FAA"/>
    <w:rsid w:val="00A30270"/>
    <w:rsid w:val="00A315F6"/>
    <w:rsid w:val="00A33793"/>
    <w:rsid w:val="00A42848"/>
    <w:rsid w:val="00A428EE"/>
    <w:rsid w:val="00A50657"/>
    <w:rsid w:val="00A539B3"/>
    <w:rsid w:val="00A66D77"/>
    <w:rsid w:val="00A74488"/>
    <w:rsid w:val="00A74D38"/>
    <w:rsid w:val="00A75420"/>
    <w:rsid w:val="00A908AC"/>
    <w:rsid w:val="00A97EB4"/>
    <w:rsid w:val="00AA394D"/>
    <w:rsid w:val="00AC05DF"/>
    <w:rsid w:val="00AC36F1"/>
    <w:rsid w:val="00AC5924"/>
    <w:rsid w:val="00AC5B1A"/>
    <w:rsid w:val="00AD7F02"/>
    <w:rsid w:val="00AE3364"/>
    <w:rsid w:val="00AE3D0E"/>
    <w:rsid w:val="00AE4071"/>
    <w:rsid w:val="00AF439F"/>
    <w:rsid w:val="00B01597"/>
    <w:rsid w:val="00B11BD7"/>
    <w:rsid w:val="00B24694"/>
    <w:rsid w:val="00B24C81"/>
    <w:rsid w:val="00B2539F"/>
    <w:rsid w:val="00B26EEB"/>
    <w:rsid w:val="00B3798E"/>
    <w:rsid w:val="00B45B87"/>
    <w:rsid w:val="00B45C4C"/>
    <w:rsid w:val="00B467AF"/>
    <w:rsid w:val="00B46A66"/>
    <w:rsid w:val="00B470C8"/>
    <w:rsid w:val="00B513EC"/>
    <w:rsid w:val="00B72610"/>
    <w:rsid w:val="00B77CDD"/>
    <w:rsid w:val="00B91043"/>
    <w:rsid w:val="00B95BC9"/>
    <w:rsid w:val="00BB121A"/>
    <w:rsid w:val="00BB2076"/>
    <w:rsid w:val="00BC0B91"/>
    <w:rsid w:val="00BD5E7A"/>
    <w:rsid w:val="00BE01AC"/>
    <w:rsid w:val="00BE094A"/>
    <w:rsid w:val="00BE180D"/>
    <w:rsid w:val="00C001F4"/>
    <w:rsid w:val="00C16C08"/>
    <w:rsid w:val="00C17487"/>
    <w:rsid w:val="00C33F89"/>
    <w:rsid w:val="00C425B0"/>
    <w:rsid w:val="00C55442"/>
    <w:rsid w:val="00C55560"/>
    <w:rsid w:val="00C65855"/>
    <w:rsid w:val="00C70716"/>
    <w:rsid w:val="00C94F0C"/>
    <w:rsid w:val="00C95CAE"/>
    <w:rsid w:val="00C97BFC"/>
    <w:rsid w:val="00CA1682"/>
    <w:rsid w:val="00CA2838"/>
    <w:rsid w:val="00CB24E3"/>
    <w:rsid w:val="00CB5DA0"/>
    <w:rsid w:val="00CD313F"/>
    <w:rsid w:val="00CE153A"/>
    <w:rsid w:val="00CE58D2"/>
    <w:rsid w:val="00CE5DAF"/>
    <w:rsid w:val="00D162AC"/>
    <w:rsid w:val="00D37C10"/>
    <w:rsid w:val="00D41DFA"/>
    <w:rsid w:val="00D542DB"/>
    <w:rsid w:val="00D7060F"/>
    <w:rsid w:val="00D74F92"/>
    <w:rsid w:val="00D76A4D"/>
    <w:rsid w:val="00D7762F"/>
    <w:rsid w:val="00D77C16"/>
    <w:rsid w:val="00D801EB"/>
    <w:rsid w:val="00D82C39"/>
    <w:rsid w:val="00D90F18"/>
    <w:rsid w:val="00D9660F"/>
    <w:rsid w:val="00DA07C6"/>
    <w:rsid w:val="00DA6465"/>
    <w:rsid w:val="00DB5ACB"/>
    <w:rsid w:val="00DB65C6"/>
    <w:rsid w:val="00DD6800"/>
    <w:rsid w:val="00DE4409"/>
    <w:rsid w:val="00E10A52"/>
    <w:rsid w:val="00E153E0"/>
    <w:rsid w:val="00E303A8"/>
    <w:rsid w:val="00E402E5"/>
    <w:rsid w:val="00E41D98"/>
    <w:rsid w:val="00E44C4C"/>
    <w:rsid w:val="00E5494A"/>
    <w:rsid w:val="00E54B62"/>
    <w:rsid w:val="00E55932"/>
    <w:rsid w:val="00E614C8"/>
    <w:rsid w:val="00E741D2"/>
    <w:rsid w:val="00E74AB5"/>
    <w:rsid w:val="00E76525"/>
    <w:rsid w:val="00E80D26"/>
    <w:rsid w:val="00E81D58"/>
    <w:rsid w:val="00E837DC"/>
    <w:rsid w:val="00EB01CE"/>
    <w:rsid w:val="00EB7A98"/>
    <w:rsid w:val="00EC0709"/>
    <w:rsid w:val="00EC7090"/>
    <w:rsid w:val="00ED2ECC"/>
    <w:rsid w:val="00EE6E7A"/>
    <w:rsid w:val="00EF2E61"/>
    <w:rsid w:val="00EF55C6"/>
    <w:rsid w:val="00EF5F1F"/>
    <w:rsid w:val="00F00D17"/>
    <w:rsid w:val="00F025AC"/>
    <w:rsid w:val="00F15775"/>
    <w:rsid w:val="00F2050D"/>
    <w:rsid w:val="00F22881"/>
    <w:rsid w:val="00F260F9"/>
    <w:rsid w:val="00F34BA7"/>
    <w:rsid w:val="00F37933"/>
    <w:rsid w:val="00F46036"/>
    <w:rsid w:val="00F73DD6"/>
    <w:rsid w:val="00F806B6"/>
    <w:rsid w:val="00F8604D"/>
    <w:rsid w:val="00F8719A"/>
    <w:rsid w:val="00FA0C98"/>
    <w:rsid w:val="00FA1763"/>
    <w:rsid w:val="00FA1CC6"/>
    <w:rsid w:val="00FC4756"/>
    <w:rsid w:val="00FD7686"/>
    <w:rsid w:val="00FE0CF7"/>
    <w:rsid w:val="00FE630E"/>
    <w:rsid w:val="00FF74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pPr>
        <w:spacing w:line="360" w:lineRule="auto"/>
        <w:ind w:right="851"/>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page number" w:uiPriority="12"/>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38E"/>
    <w:pPr>
      <w:tabs>
        <w:tab w:val="left" w:pos="567"/>
        <w:tab w:val="left" w:pos="1134"/>
        <w:tab w:val="left" w:pos="1701"/>
      </w:tabs>
      <w:overflowPunct w:val="0"/>
      <w:autoSpaceDE w:val="0"/>
      <w:autoSpaceDN w:val="0"/>
      <w:adjustRightInd w:val="0"/>
      <w:ind w:right="0"/>
      <w:textAlignment w:val="baseline"/>
    </w:pPr>
    <w:rPr>
      <w:rFonts w:ascii="Tahoma" w:hAnsi="Tahoma"/>
      <w:bCs/>
      <w:spacing w:val="10"/>
    </w:rPr>
  </w:style>
  <w:style w:type="paragraph" w:styleId="Overskrift1">
    <w:name w:val="heading 1"/>
    <w:basedOn w:val="Normal"/>
    <w:next w:val="Normal"/>
    <w:qFormat/>
    <w:rsid w:val="00F025AC"/>
    <w:pPr>
      <w:keepNext/>
      <w:numPr>
        <w:numId w:val="13"/>
      </w:numPr>
      <w:tabs>
        <w:tab w:val="clear" w:pos="1134"/>
        <w:tab w:val="clear" w:pos="1701"/>
      </w:tabs>
      <w:spacing w:after="160" w:line="240" w:lineRule="auto"/>
      <w:outlineLvl w:val="0"/>
    </w:pPr>
    <w:rPr>
      <w:b/>
      <w:caps/>
    </w:rPr>
  </w:style>
  <w:style w:type="paragraph" w:styleId="Overskrift2">
    <w:name w:val="heading 2"/>
    <w:basedOn w:val="Normal"/>
    <w:next w:val="Normal"/>
    <w:qFormat/>
    <w:rsid w:val="00F025AC"/>
    <w:pPr>
      <w:keepNext/>
      <w:numPr>
        <w:ilvl w:val="1"/>
        <w:numId w:val="13"/>
      </w:numPr>
      <w:tabs>
        <w:tab w:val="clear" w:pos="567"/>
        <w:tab w:val="clear" w:pos="1134"/>
        <w:tab w:val="clear" w:pos="1701"/>
      </w:tabs>
      <w:spacing w:line="240" w:lineRule="auto"/>
      <w:outlineLvl w:val="1"/>
    </w:pPr>
    <w:rPr>
      <w:b/>
      <w:bCs w:val="0"/>
      <w:iCs/>
      <w:szCs w:val="28"/>
    </w:rPr>
  </w:style>
  <w:style w:type="paragraph" w:styleId="Overskrift3">
    <w:name w:val="heading 3"/>
    <w:basedOn w:val="Normal"/>
    <w:next w:val="Normal"/>
    <w:qFormat/>
    <w:rsid w:val="00F025AC"/>
    <w:pPr>
      <w:keepNext/>
      <w:numPr>
        <w:ilvl w:val="2"/>
        <w:numId w:val="13"/>
      </w:numPr>
      <w:tabs>
        <w:tab w:val="clear" w:pos="567"/>
        <w:tab w:val="clear" w:pos="1134"/>
        <w:tab w:val="clear" w:pos="1701"/>
      </w:tabs>
      <w:spacing w:line="240" w:lineRule="auto"/>
      <w:outlineLvl w:val="2"/>
    </w:pPr>
    <w:rPr>
      <w:b/>
      <w:bCs w:val="0"/>
      <w:i/>
      <w:szCs w:val="26"/>
    </w:rPr>
  </w:style>
  <w:style w:type="paragraph" w:styleId="Overskrift4">
    <w:name w:val="heading 4"/>
    <w:basedOn w:val="Normal"/>
    <w:next w:val="Normal"/>
    <w:qFormat/>
    <w:rsid w:val="00F025AC"/>
    <w:pPr>
      <w:keepNext/>
      <w:numPr>
        <w:ilvl w:val="3"/>
        <w:numId w:val="13"/>
      </w:numPr>
      <w:tabs>
        <w:tab w:val="clear" w:pos="567"/>
        <w:tab w:val="clear" w:pos="1134"/>
        <w:tab w:val="clear" w:pos="1701"/>
      </w:tabs>
      <w:spacing w:line="240" w:lineRule="auto"/>
      <w:outlineLvl w:val="3"/>
    </w:pPr>
    <w:rPr>
      <w:i/>
      <w:szCs w:val="28"/>
    </w:rPr>
  </w:style>
  <w:style w:type="paragraph" w:styleId="Overskrift5">
    <w:name w:val="heading 5"/>
    <w:basedOn w:val="Overskrift1"/>
    <w:next w:val="Normal"/>
    <w:qFormat/>
    <w:rsid w:val="00F025AC"/>
    <w:pPr>
      <w:numPr>
        <w:numId w:val="0"/>
      </w:numPr>
      <w:outlineLvl w:val="4"/>
    </w:pPr>
    <w:rPr>
      <w:bCs w:val="0"/>
      <w:iCs/>
      <w:szCs w:val="26"/>
    </w:rPr>
  </w:style>
  <w:style w:type="paragraph" w:styleId="Overskrift6">
    <w:name w:val="heading 6"/>
    <w:basedOn w:val="Overskrift2"/>
    <w:next w:val="Normal"/>
    <w:qFormat/>
    <w:rsid w:val="00F025AC"/>
    <w:pPr>
      <w:numPr>
        <w:ilvl w:val="0"/>
        <w:numId w:val="0"/>
      </w:numPr>
      <w:tabs>
        <w:tab w:val="left" w:pos="709"/>
      </w:tabs>
      <w:outlineLvl w:val="5"/>
    </w:pPr>
    <w:rPr>
      <w:bCs/>
      <w:szCs w:val="22"/>
    </w:rPr>
  </w:style>
  <w:style w:type="paragraph" w:styleId="Overskrift7">
    <w:name w:val="heading 7"/>
    <w:basedOn w:val="Overskrift3"/>
    <w:next w:val="Normal"/>
    <w:qFormat/>
    <w:rsid w:val="00F025AC"/>
    <w:pPr>
      <w:numPr>
        <w:ilvl w:val="0"/>
        <w:numId w:val="0"/>
      </w:numPr>
      <w:tabs>
        <w:tab w:val="left" w:pos="851"/>
      </w:tabs>
      <w:outlineLvl w:val="6"/>
    </w:pPr>
    <w:rPr>
      <w:szCs w:val="24"/>
    </w:rPr>
  </w:style>
  <w:style w:type="paragraph" w:styleId="Overskrift8">
    <w:name w:val="heading 8"/>
    <w:basedOn w:val="Overskrift4"/>
    <w:next w:val="Normal"/>
    <w:qFormat/>
    <w:rsid w:val="00F025AC"/>
    <w:pPr>
      <w:numPr>
        <w:ilvl w:val="0"/>
        <w:numId w:val="0"/>
      </w:numPr>
      <w:tabs>
        <w:tab w:val="left" w:pos="992"/>
      </w:tabs>
      <w:outlineLvl w:val="7"/>
    </w:pPr>
    <w:rPr>
      <w:iCs/>
      <w:szCs w:val="24"/>
    </w:rPr>
  </w:style>
  <w:style w:type="paragraph" w:styleId="Overskrift9">
    <w:name w:val="heading 9"/>
    <w:basedOn w:val="Normal"/>
    <w:next w:val="Normal"/>
    <w:qFormat/>
    <w:rsid w:val="00EC0709"/>
    <w:pPr>
      <w:keepNext/>
      <w:tabs>
        <w:tab w:val="clear" w:pos="567"/>
        <w:tab w:val="clear" w:pos="1134"/>
        <w:tab w:val="clear" w:pos="1701"/>
      </w:tabs>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rsid w:val="001B2E09"/>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rsid w:val="001B2E09"/>
    <w:pPr>
      <w:tabs>
        <w:tab w:val="clear" w:pos="567"/>
        <w:tab w:val="clear" w:pos="1134"/>
        <w:tab w:val="clear" w:pos="1701"/>
        <w:tab w:val="left" w:pos="737"/>
      </w:tabs>
    </w:pPr>
    <w:rPr>
      <w:rFonts w:cs="Arial"/>
      <w:sz w:val="19"/>
      <w:szCs w:val="24"/>
    </w:rPr>
  </w:style>
  <w:style w:type="paragraph" w:customStyle="1" w:styleId="Brevoverskrift">
    <w:name w:val="Brevoverskrift"/>
    <w:basedOn w:val="Normal"/>
    <w:rsid w:val="00F025AC"/>
    <w:rPr>
      <w:b/>
      <w:bCs w:val="0"/>
    </w:rPr>
  </w:style>
  <w:style w:type="paragraph" w:styleId="Dato">
    <w:name w:val="Date"/>
    <w:basedOn w:val="Normal"/>
    <w:next w:val="Normal"/>
    <w:rsid w:val="001B2E09"/>
  </w:style>
  <w:style w:type="paragraph" w:customStyle="1" w:styleId="Direkte">
    <w:name w:val="Direkte"/>
    <w:basedOn w:val="Normal"/>
    <w:next w:val="Normal"/>
    <w:rsid w:val="001B2E09"/>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sz w:val="17"/>
      <w:vertAlign w:val="superscript"/>
    </w:rPr>
  </w:style>
  <w:style w:type="paragraph" w:styleId="Fodnotetekst">
    <w:name w:val="footnote text"/>
    <w:basedOn w:val="Normal"/>
    <w:semiHidden/>
    <w:rsid w:val="001B2E09"/>
    <w:pPr>
      <w:tabs>
        <w:tab w:val="clear" w:pos="567"/>
        <w:tab w:val="clear" w:pos="1134"/>
        <w:tab w:val="clear" w:pos="1701"/>
        <w:tab w:val="left" w:pos="369"/>
      </w:tabs>
      <w:spacing w:line="240" w:lineRule="auto"/>
      <w:ind w:left="369" w:hanging="369"/>
    </w:pPr>
    <w:rPr>
      <w:sz w:val="17"/>
    </w:rPr>
  </w:style>
  <w:style w:type="paragraph" w:styleId="Indholdsfortegnelse1">
    <w:name w:val="toc 1"/>
    <w:basedOn w:val="Normal"/>
    <w:next w:val="Normal"/>
    <w:semiHidden/>
    <w:rsid w:val="001B2E09"/>
    <w:pPr>
      <w:tabs>
        <w:tab w:val="clear" w:pos="1134"/>
        <w:tab w:val="clear" w:pos="1701"/>
        <w:tab w:val="right" w:leader="dot" w:pos="8823"/>
      </w:tabs>
      <w:spacing w:line="348" w:lineRule="auto"/>
      <w:ind w:left="567" w:right="567" w:hanging="567"/>
      <w:jc w:val="left"/>
    </w:pPr>
    <w:rPr>
      <w:caps/>
      <w:sz w:val="19"/>
    </w:rPr>
  </w:style>
  <w:style w:type="paragraph" w:styleId="Indholdsfortegnelse2">
    <w:name w:val="toc 2"/>
    <w:basedOn w:val="Normal"/>
    <w:next w:val="Normal"/>
    <w:semiHidden/>
    <w:rsid w:val="001B2E09"/>
    <w:pPr>
      <w:tabs>
        <w:tab w:val="clear" w:pos="567"/>
        <w:tab w:val="clear" w:pos="1134"/>
        <w:tab w:val="clear" w:pos="1701"/>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semiHidden/>
    <w:rsid w:val="001B2E09"/>
    <w:pPr>
      <w:tabs>
        <w:tab w:val="clear" w:pos="567"/>
        <w:tab w:val="clear" w:pos="1134"/>
        <w:tab w:val="clear" w:pos="1701"/>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1B2E09"/>
    <w:pPr>
      <w:tabs>
        <w:tab w:val="clear" w:pos="567"/>
        <w:tab w:val="clear" w:pos="1134"/>
        <w:tab w:val="clear" w:pos="1701"/>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1B2E09"/>
    <w:pPr>
      <w:tabs>
        <w:tab w:val="clear" w:pos="567"/>
        <w:tab w:val="clear" w:pos="1134"/>
        <w:tab w:val="clear" w:pos="1701"/>
      </w:tabs>
      <w:ind w:left="720"/>
    </w:pPr>
  </w:style>
  <w:style w:type="paragraph" w:styleId="Indholdsfortegnelse6">
    <w:name w:val="toc 6"/>
    <w:basedOn w:val="Normal"/>
    <w:next w:val="Normal"/>
    <w:autoRedefine/>
    <w:semiHidden/>
    <w:rsid w:val="001B2E09"/>
    <w:pPr>
      <w:tabs>
        <w:tab w:val="clear" w:pos="567"/>
        <w:tab w:val="clear" w:pos="1134"/>
        <w:tab w:val="clear" w:pos="1701"/>
      </w:tabs>
      <w:ind w:left="900"/>
    </w:pPr>
  </w:style>
  <w:style w:type="paragraph" w:styleId="Indholdsfortegnelse7">
    <w:name w:val="toc 7"/>
    <w:basedOn w:val="Normal"/>
    <w:next w:val="Normal"/>
    <w:autoRedefine/>
    <w:semiHidden/>
    <w:rsid w:val="001B2E09"/>
    <w:pPr>
      <w:tabs>
        <w:tab w:val="clear" w:pos="567"/>
        <w:tab w:val="clear" w:pos="1134"/>
        <w:tab w:val="clear" w:pos="1701"/>
      </w:tabs>
      <w:ind w:left="1080"/>
    </w:pPr>
  </w:style>
  <w:style w:type="paragraph" w:styleId="Indholdsfortegnelse8">
    <w:name w:val="toc 8"/>
    <w:basedOn w:val="Normal"/>
    <w:next w:val="Normal"/>
    <w:autoRedefine/>
    <w:semiHidden/>
    <w:rsid w:val="001B2E09"/>
    <w:pPr>
      <w:tabs>
        <w:tab w:val="clear" w:pos="567"/>
        <w:tab w:val="clear" w:pos="1134"/>
        <w:tab w:val="clear" w:pos="1701"/>
      </w:tabs>
      <w:ind w:left="1260"/>
    </w:pPr>
  </w:style>
  <w:style w:type="paragraph" w:styleId="Indholdsfortegnelse9">
    <w:name w:val="toc 9"/>
    <w:basedOn w:val="Normal"/>
    <w:next w:val="Normal"/>
    <w:autoRedefine/>
    <w:semiHidden/>
    <w:rsid w:val="001B2E09"/>
    <w:pPr>
      <w:tabs>
        <w:tab w:val="clear" w:pos="567"/>
        <w:tab w:val="clear" w:pos="1134"/>
        <w:tab w:val="clear" w:pos="1701"/>
      </w:tabs>
      <w:ind w:left="1440"/>
    </w:pPr>
  </w:style>
  <w:style w:type="character" w:styleId="Kommentarhenvisning">
    <w:name w:val="annotation reference"/>
    <w:basedOn w:val="Standardskrifttypeiafsnit"/>
    <w:semiHidden/>
    <w:rsid w:val="001B2E09"/>
    <w:rPr>
      <w:sz w:val="16"/>
      <w:szCs w:val="16"/>
    </w:rPr>
  </w:style>
  <w:style w:type="paragraph" w:styleId="Kommentartekst">
    <w:name w:val="annotation text"/>
    <w:basedOn w:val="Normal"/>
    <w:link w:val="KommentartekstTegn"/>
    <w:semiHidden/>
    <w:rsid w:val="001B2E09"/>
  </w:style>
  <w:style w:type="character" w:styleId="Linjenummer">
    <w:name w:val="line number"/>
    <w:basedOn w:val="Standardskrifttypeiafsnit"/>
    <w:rsid w:val="001B2E09"/>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tabs>
        <w:tab w:val="clear" w:pos="1134"/>
        <w:tab w:val="clear" w:pos="1701"/>
      </w:tabs>
      <w:spacing w:before="200" w:after="300" w:line="312" w:lineRule="auto"/>
    </w:pPr>
    <w:rPr>
      <w:b/>
      <w:bCs w:val="0"/>
    </w:rPr>
  </w:style>
  <w:style w:type="paragraph" w:styleId="Noteoverskrift">
    <w:name w:val="Note Heading"/>
    <w:basedOn w:val="Normal"/>
    <w:next w:val="Normal"/>
    <w:rsid w:val="001B2E09"/>
  </w:style>
  <w:style w:type="paragraph" w:styleId="Opstilling">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uiPriority w:val="99"/>
    <w:rsid w:val="001B2E09"/>
    <w:pPr>
      <w:numPr>
        <w:numId w:val="1"/>
      </w:numPr>
    </w:pPr>
  </w:style>
  <w:style w:type="paragraph" w:styleId="Opstilling-punkttegn2">
    <w:name w:val="List Bullet 2"/>
    <w:basedOn w:val="Normal"/>
    <w:autoRedefine/>
    <w:rsid w:val="001B2E09"/>
    <w:pPr>
      <w:numPr>
        <w:numId w:val="2"/>
      </w:numPr>
    </w:pPr>
  </w:style>
  <w:style w:type="paragraph" w:styleId="Opstilling-punkttegn3">
    <w:name w:val="List Bullet 3"/>
    <w:basedOn w:val="Normal"/>
    <w:autoRedefine/>
    <w:rsid w:val="001B2E09"/>
    <w:pPr>
      <w:numPr>
        <w:numId w:val="3"/>
      </w:numPr>
    </w:pPr>
  </w:style>
  <w:style w:type="paragraph" w:styleId="Opstilling-punkttegn4">
    <w:name w:val="List Bullet 4"/>
    <w:basedOn w:val="Normal"/>
    <w:autoRedefine/>
    <w:rsid w:val="001B2E09"/>
    <w:pPr>
      <w:numPr>
        <w:numId w:val="4"/>
      </w:numPr>
    </w:pPr>
  </w:style>
  <w:style w:type="paragraph" w:styleId="Opstilling-punkttegn5">
    <w:name w:val="List Bullet 5"/>
    <w:basedOn w:val="Normal"/>
    <w:autoRedefine/>
    <w:rsid w:val="001B2E09"/>
    <w:pPr>
      <w:numPr>
        <w:numId w:val="5"/>
      </w:numPr>
    </w:pPr>
  </w:style>
  <w:style w:type="paragraph" w:styleId="Opstilling-talellerbogst">
    <w:name w:val="List Number"/>
    <w:basedOn w:val="Normal"/>
    <w:rsid w:val="001B2E09"/>
    <w:pPr>
      <w:numPr>
        <w:numId w:val="6"/>
      </w:numPr>
    </w:pPr>
  </w:style>
  <w:style w:type="paragraph" w:styleId="Opstilling-talellerbogst2">
    <w:name w:val="List Number 2"/>
    <w:basedOn w:val="Normal"/>
    <w:rsid w:val="001B2E09"/>
    <w:pPr>
      <w:numPr>
        <w:numId w:val="7"/>
      </w:numPr>
    </w:pPr>
  </w:style>
  <w:style w:type="paragraph" w:styleId="Opstilling-talellerbogst3">
    <w:name w:val="List Number 3"/>
    <w:basedOn w:val="Normal"/>
    <w:rsid w:val="001B2E09"/>
    <w:pPr>
      <w:numPr>
        <w:numId w:val="8"/>
      </w:numPr>
    </w:pPr>
  </w:style>
  <w:style w:type="paragraph" w:styleId="Opstilling-talellerbogst4">
    <w:name w:val="List Number 4"/>
    <w:basedOn w:val="Normal"/>
    <w:rsid w:val="001B2E09"/>
    <w:pPr>
      <w:numPr>
        <w:numId w:val="9"/>
      </w:numPr>
    </w:pPr>
  </w:style>
  <w:style w:type="paragraph" w:styleId="Opstilling-talellerbogst5">
    <w:name w:val="List Number 5"/>
    <w:basedOn w:val="Normal"/>
    <w:rsid w:val="001B2E09"/>
    <w:pPr>
      <w:numPr>
        <w:numId w:val="10"/>
      </w:numPr>
    </w:pPr>
  </w:style>
  <w:style w:type="paragraph" w:styleId="Opstilling2">
    <w:name w:val="List 2"/>
    <w:basedOn w:val="Normal"/>
    <w:rsid w:val="001B2E09"/>
    <w:pPr>
      <w:ind w:left="566" w:hanging="283"/>
    </w:pPr>
  </w:style>
  <w:style w:type="paragraph" w:styleId="Opstilling3">
    <w:name w:val="List 3"/>
    <w:basedOn w:val="Normal"/>
    <w:rsid w:val="001B2E09"/>
    <w:pPr>
      <w:ind w:left="849" w:hanging="283"/>
    </w:pPr>
  </w:style>
  <w:style w:type="paragraph" w:styleId="Opstilling4">
    <w:name w:val="List 4"/>
    <w:basedOn w:val="Normal"/>
    <w:rsid w:val="001B2E09"/>
    <w:pPr>
      <w:ind w:left="1132" w:hanging="283"/>
    </w:pPr>
  </w:style>
  <w:style w:type="paragraph" w:styleId="Opstilling5">
    <w:name w:val="List 5"/>
    <w:basedOn w:val="Normal"/>
    <w:rsid w:val="001B2E09"/>
    <w:pPr>
      <w:ind w:left="1415" w:hanging="283"/>
    </w:pPr>
  </w:style>
  <w:style w:type="paragraph" w:styleId="Sidefod">
    <w:name w:val="footer"/>
    <w:basedOn w:val="Normal"/>
    <w:rsid w:val="001B2E09"/>
    <w:pPr>
      <w:tabs>
        <w:tab w:val="clear" w:pos="567"/>
        <w:tab w:val="clear" w:pos="1134"/>
        <w:tab w:val="clear" w:pos="1701"/>
      </w:tabs>
      <w:jc w:val="center"/>
    </w:pPr>
    <w:rPr>
      <w:sz w:val="14"/>
    </w:rPr>
  </w:style>
  <w:style w:type="paragraph" w:styleId="Sidehoved">
    <w:name w:val="header"/>
    <w:basedOn w:val="Normal"/>
    <w:rsid w:val="001B2E09"/>
    <w:pPr>
      <w:tabs>
        <w:tab w:val="clear" w:pos="567"/>
        <w:tab w:val="clear" w:pos="1134"/>
        <w:tab w:val="clear" w:pos="1701"/>
      </w:tabs>
    </w:pPr>
  </w:style>
  <w:style w:type="character" w:styleId="Sidetal">
    <w:name w:val="page number"/>
    <w:basedOn w:val="Standardskrifttypeiafsnit"/>
    <w:uiPriority w:val="12"/>
    <w:rsid w:val="009B1DE3"/>
    <w:rPr>
      <w:sz w:val="16"/>
    </w:rPr>
  </w:style>
  <w:style w:type="character" w:styleId="Slutnotehenvisning">
    <w:name w:val="endnote reference"/>
    <w:basedOn w:val="Standardskrifttypeiafsnit"/>
    <w:semiHidden/>
    <w:rsid w:val="001B2E09"/>
    <w:rPr>
      <w:sz w:val="17"/>
      <w:vertAlign w:val="superscript"/>
    </w:rPr>
  </w:style>
  <w:style w:type="paragraph" w:styleId="Slutnotetekst">
    <w:name w:val="endnote text"/>
    <w:basedOn w:val="Normal"/>
    <w:semiHidden/>
    <w:rsid w:val="001B2E09"/>
    <w:pPr>
      <w:tabs>
        <w:tab w:val="clear" w:pos="567"/>
        <w:tab w:val="clear" w:pos="1134"/>
        <w:tab w:val="clear" w:pos="1701"/>
        <w:tab w:val="left" w:pos="369"/>
      </w:tabs>
      <w:spacing w:line="240" w:lineRule="auto"/>
      <w:ind w:left="369" w:hanging="369"/>
    </w:pPr>
    <w:rPr>
      <w:sz w:val="17"/>
    </w:rPr>
  </w:style>
  <w:style w:type="paragraph" w:styleId="Titel">
    <w:name w:val="Title"/>
    <w:basedOn w:val="Normal"/>
    <w:qFormat/>
    <w:rsid w:val="00F025AC"/>
    <w:pPr>
      <w:keepNext/>
      <w:spacing w:after="240" w:line="240" w:lineRule="auto"/>
      <w:jc w:val="left"/>
    </w:pPr>
    <w:rPr>
      <w:rFonts w:cs="Arial"/>
      <w:sz w:val="44"/>
      <w:szCs w:val="32"/>
    </w:rPr>
  </w:style>
  <w:style w:type="paragraph" w:styleId="Underskrift">
    <w:name w:val="Signature"/>
    <w:basedOn w:val="Normal"/>
    <w:rsid w:val="001B2E09"/>
    <w:pPr>
      <w:ind w:left="4252"/>
    </w:pPr>
  </w:style>
  <w:style w:type="paragraph" w:customStyle="1" w:styleId="Modtager">
    <w:name w:val="Modtager"/>
    <w:basedOn w:val="Normal"/>
    <w:next w:val="Normal"/>
    <w:rsid w:val="00EF5F1F"/>
    <w:pPr>
      <w:tabs>
        <w:tab w:val="clear" w:pos="567"/>
        <w:tab w:val="clear" w:pos="1134"/>
        <w:tab w:val="clear" w:pos="1701"/>
      </w:tabs>
      <w:spacing w:line="312" w:lineRule="auto"/>
    </w:pPr>
  </w:style>
  <w:style w:type="paragraph" w:styleId="Listeafsnit">
    <w:name w:val="List Paragraph"/>
    <w:basedOn w:val="Normal"/>
    <w:uiPriority w:val="99"/>
    <w:qFormat/>
    <w:rsid w:val="00535651"/>
    <w:pPr>
      <w:ind w:left="720"/>
      <w:contextualSpacing/>
    </w:pPr>
  </w:style>
  <w:style w:type="paragraph" w:customStyle="1" w:styleId="Indlg">
    <w:name w:val="Indlæg"/>
    <w:basedOn w:val="Normal"/>
    <w:next w:val="Normal"/>
    <w:autoRedefine/>
    <w:qFormat/>
    <w:rsid w:val="00774694"/>
    <w:pPr>
      <w:numPr>
        <w:numId w:val="12"/>
      </w:numPr>
      <w:tabs>
        <w:tab w:val="clear" w:pos="567"/>
        <w:tab w:val="clear" w:pos="1134"/>
        <w:tab w:val="clear" w:pos="1701"/>
        <w:tab w:val="left" w:pos="0"/>
      </w:tabs>
      <w:ind w:left="0" w:hanging="567"/>
    </w:pPr>
  </w:style>
  <w:style w:type="paragraph" w:customStyle="1" w:styleId="AdresseOplysninger">
    <w:name w:val="AdresseOplysninger"/>
    <w:basedOn w:val="Normal"/>
    <w:qFormat/>
    <w:rsid w:val="00955A56"/>
    <w:pPr>
      <w:tabs>
        <w:tab w:val="clear" w:pos="567"/>
        <w:tab w:val="clear" w:pos="1134"/>
        <w:tab w:val="clear" w:pos="1701"/>
        <w:tab w:val="left" w:pos="2183"/>
      </w:tabs>
      <w:spacing w:line="240" w:lineRule="auto"/>
    </w:pPr>
    <w:rPr>
      <w:sz w:val="16"/>
    </w:rPr>
  </w:style>
  <w:style w:type="paragraph" w:customStyle="1" w:styleId="DatoFelt">
    <w:name w:val="DatoFelt"/>
    <w:basedOn w:val="Normal"/>
    <w:next w:val="Normal"/>
    <w:qFormat/>
    <w:rsid w:val="00F025AC"/>
    <w:pPr>
      <w:spacing w:after="200" w:line="220" w:lineRule="exact"/>
    </w:pPr>
    <w:rPr>
      <w:b/>
      <w:caps/>
      <w:sz w:val="16"/>
      <w:szCs w:val="16"/>
    </w:rPr>
  </w:style>
  <w:style w:type="paragraph" w:customStyle="1" w:styleId="DirekteOplysninger">
    <w:name w:val="DirekteOplysninger"/>
    <w:basedOn w:val="Normal"/>
    <w:qFormat/>
    <w:rsid w:val="00F025AC"/>
    <w:pPr>
      <w:spacing w:line="240" w:lineRule="auto"/>
    </w:pPr>
    <w:rPr>
      <w:sz w:val="16"/>
      <w:szCs w:val="16"/>
    </w:rPr>
  </w:style>
  <w:style w:type="paragraph" w:customStyle="1" w:styleId="notaoplysninger">
    <w:name w:val="notaoplysninger"/>
    <w:basedOn w:val="Normal"/>
    <w:rsid w:val="00F025AC"/>
    <w:pPr>
      <w:tabs>
        <w:tab w:val="clear" w:pos="567"/>
        <w:tab w:val="clear" w:pos="1134"/>
        <w:tab w:val="clear" w:pos="1701"/>
        <w:tab w:val="left" w:pos="1080"/>
      </w:tabs>
      <w:spacing w:line="240" w:lineRule="auto"/>
      <w:ind w:left="1077" w:hanging="1077"/>
    </w:pPr>
    <w:rPr>
      <w:rFonts w:cs="Tahoma"/>
      <w:sz w:val="17"/>
    </w:rPr>
  </w:style>
  <w:style w:type="paragraph" w:customStyle="1" w:styleId="SagsnrFelt">
    <w:name w:val="SagsnrFelt"/>
    <w:basedOn w:val="DatoFelt"/>
    <w:next w:val="DirekteOplysninger"/>
    <w:qFormat/>
    <w:rsid w:val="00F025AC"/>
    <w:rPr>
      <w:b w:val="0"/>
      <w:caps w:val="0"/>
    </w:rPr>
  </w:style>
  <w:style w:type="character" w:customStyle="1" w:styleId="Stilling">
    <w:name w:val="Stilling"/>
    <w:uiPriority w:val="99"/>
    <w:rsid w:val="00F025AC"/>
    <w:rPr>
      <w:i/>
      <w:color w:val="auto"/>
      <w:szCs w:val="23"/>
    </w:rPr>
  </w:style>
  <w:style w:type="paragraph" w:styleId="Markeringsbobletekst">
    <w:name w:val="Balloon Text"/>
    <w:basedOn w:val="Normal"/>
    <w:link w:val="MarkeringsbobletekstTegn"/>
    <w:semiHidden/>
    <w:unhideWhenUsed/>
    <w:rsid w:val="009A53F1"/>
    <w:pPr>
      <w:spacing w:line="240" w:lineRule="auto"/>
    </w:pPr>
    <w:rPr>
      <w:rFonts w:cs="Tahoma"/>
      <w:sz w:val="16"/>
      <w:szCs w:val="16"/>
    </w:rPr>
  </w:style>
  <w:style w:type="character" w:customStyle="1" w:styleId="MarkeringsbobletekstTegn">
    <w:name w:val="Markeringsbobletekst Tegn"/>
    <w:basedOn w:val="Standardskrifttypeiafsnit"/>
    <w:link w:val="Markeringsbobletekst"/>
    <w:semiHidden/>
    <w:rsid w:val="009A53F1"/>
    <w:rPr>
      <w:rFonts w:ascii="Tahoma" w:hAnsi="Tahoma" w:cs="Tahoma"/>
      <w:bCs/>
      <w:spacing w:val="10"/>
      <w:sz w:val="16"/>
      <w:szCs w:val="16"/>
      <w:lang w:val="da-DK"/>
    </w:rPr>
  </w:style>
  <w:style w:type="paragraph" w:styleId="Kommentaremne">
    <w:name w:val="annotation subject"/>
    <w:basedOn w:val="Kommentartekst"/>
    <w:next w:val="Kommentartekst"/>
    <w:link w:val="KommentaremneTegn"/>
    <w:semiHidden/>
    <w:unhideWhenUsed/>
    <w:rsid w:val="005746A2"/>
    <w:pPr>
      <w:spacing w:line="240" w:lineRule="auto"/>
    </w:pPr>
    <w:rPr>
      <w:b/>
    </w:rPr>
  </w:style>
  <w:style w:type="character" w:customStyle="1" w:styleId="KommentartekstTegn">
    <w:name w:val="Kommentartekst Tegn"/>
    <w:basedOn w:val="Standardskrifttypeiafsnit"/>
    <w:link w:val="Kommentartekst"/>
    <w:semiHidden/>
    <w:rsid w:val="005746A2"/>
    <w:rPr>
      <w:rFonts w:ascii="Tahoma" w:hAnsi="Tahoma"/>
      <w:bCs/>
      <w:spacing w:val="10"/>
      <w:lang w:val="da-DK"/>
    </w:rPr>
  </w:style>
  <w:style w:type="character" w:customStyle="1" w:styleId="KommentaremneTegn">
    <w:name w:val="Kommentaremne Tegn"/>
    <w:basedOn w:val="KommentartekstTegn"/>
    <w:link w:val="Kommentaremne"/>
    <w:rsid w:val="005746A2"/>
    <w:rPr>
      <w:rFonts w:ascii="Tahoma" w:hAnsi="Tahoma"/>
      <w:bCs/>
      <w:spacing w:val="10"/>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pPr>
        <w:spacing w:line="360" w:lineRule="auto"/>
        <w:ind w:right="851"/>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page number" w:uiPriority="12"/>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38E"/>
    <w:pPr>
      <w:tabs>
        <w:tab w:val="left" w:pos="567"/>
        <w:tab w:val="left" w:pos="1134"/>
        <w:tab w:val="left" w:pos="1701"/>
      </w:tabs>
      <w:overflowPunct w:val="0"/>
      <w:autoSpaceDE w:val="0"/>
      <w:autoSpaceDN w:val="0"/>
      <w:adjustRightInd w:val="0"/>
      <w:ind w:right="0"/>
      <w:textAlignment w:val="baseline"/>
    </w:pPr>
    <w:rPr>
      <w:rFonts w:ascii="Tahoma" w:hAnsi="Tahoma"/>
      <w:bCs/>
      <w:spacing w:val="10"/>
    </w:rPr>
  </w:style>
  <w:style w:type="paragraph" w:styleId="Overskrift1">
    <w:name w:val="heading 1"/>
    <w:basedOn w:val="Normal"/>
    <w:next w:val="Normal"/>
    <w:qFormat/>
    <w:rsid w:val="00F025AC"/>
    <w:pPr>
      <w:keepNext/>
      <w:numPr>
        <w:numId w:val="13"/>
      </w:numPr>
      <w:tabs>
        <w:tab w:val="clear" w:pos="1134"/>
        <w:tab w:val="clear" w:pos="1701"/>
      </w:tabs>
      <w:spacing w:after="160" w:line="240" w:lineRule="auto"/>
      <w:outlineLvl w:val="0"/>
    </w:pPr>
    <w:rPr>
      <w:b/>
      <w:caps/>
    </w:rPr>
  </w:style>
  <w:style w:type="paragraph" w:styleId="Overskrift2">
    <w:name w:val="heading 2"/>
    <w:basedOn w:val="Normal"/>
    <w:next w:val="Normal"/>
    <w:qFormat/>
    <w:rsid w:val="00F025AC"/>
    <w:pPr>
      <w:keepNext/>
      <w:numPr>
        <w:ilvl w:val="1"/>
        <w:numId w:val="13"/>
      </w:numPr>
      <w:tabs>
        <w:tab w:val="clear" w:pos="567"/>
        <w:tab w:val="clear" w:pos="1134"/>
        <w:tab w:val="clear" w:pos="1701"/>
      </w:tabs>
      <w:spacing w:line="240" w:lineRule="auto"/>
      <w:outlineLvl w:val="1"/>
    </w:pPr>
    <w:rPr>
      <w:b/>
      <w:bCs w:val="0"/>
      <w:iCs/>
      <w:szCs w:val="28"/>
    </w:rPr>
  </w:style>
  <w:style w:type="paragraph" w:styleId="Overskrift3">
    <w:name w:val="heading 3"/>
    <w:basedOn w:val="Normal"/>
    <w:next w:val="Normal"/>
    <w:qFormat/>
    <w:rsid w:val="00F025AC"/>
    <w:pPr>
      <w:keepNext/>
      <w:numPr>
        <w:ilvl w:val="2"/>
        <w:numId w:val="13"/>
      </w:numPr>
      <w:tabs>
        <w:tab w:val="clear" w:pos="567"/>
        <w:tab w:val="clear" w:pos="1134"/>
        <w:tab w:val="clear" w:pos="1701"/>
      </w:tabs>
      <w:spacing w:line="240" w:lineRule="auto"/>
      <w:outlineLvl w:val="2"/>
    </w:pPr>
    <w:rPr>
      <w:b/>
      <w:bCs w:val="0"/>
      <w:i/>
      <w:szCs w:val="26"/>
    </w:rPr>
  </w:style>
  <w:style w:type="paragraph" w:styleId="Overskrift4">
    <w:name w:val="heading 4"/>
    <w:basedOn w:val="Normal"/>
    <w:next w:val="Normal"/>
    <w:qFormat/>
    <w:rsid w:val="00F025AC"/>
    <w:pPr>
      <w:keepNext/>
      <w:numPr>
        <w:ilvl w:val="3"/>
        <w:numId w:val="13"/>
      </w:numPr>
      <w:tabs>
        <w:tab w:val="clear" w:pos="567"/>
        <w:tab w:val="clear" w:pos="1134"/>
        <w:tab w:val="clear" w:pos="1701"/>
      </w:tabs>
      <w:spacing w:line="240" w:lineRule="auto"/>
      <w:outlineLvl w:val="3"/>
    </w:pPr>
    <w:rPr>
      <w:i/>
      <w:szCs w:val="28"/>
    </w:rPr>
  </w:style>
  <w:style w:type="paragraph" w:styleId="Overskrift5">
    <w:name w:val="heading 5"/>
    <w:basedOn w:val="Overskrift1"/>
    <w:next w:val="Normal"/>
    <w:qFormat/>
    <w:rsid w:val="00F025AC"/>
    <w:pPr>
      <w:numPr>
        <w:numId w:val="0"/>
      </w:numPr>
      <w:outlineLvl w:val="4"/>
    </w:pPr>
    <w:rPr>
      <w:bCs w:val="0"/>
      <w:iCs/>
      <w:szCs w:val="26"/>
    </w:rPr>
  </w:style>
  <w:style w:type="paragraph" w:styleId="Overskrift6">
    <w:name w:val="heading 6"/>
    <w:basedOn w:val="Overskrift2"/>
    <w:next w:val="Normal"/>
    <w:qFormat/>
    <w:rsid w:val="00F025AC"/>
    <w:pPr>
      <w:numPr>
        <w:ilvl w:val="0"/>
        <w:numId w:val="0"/>
      </w:numPr>
      <w:tabs>
        <w:tab w:val="left" w:pos="709"/>
      </w:tabs>
      <w:outlineLvl w:val="5"/>
    </w:pPr>
    <w:rPr>
      <w:bCs/>
      <w:szCs w:val="22"/>
    </w:rPr>
  </w:style>
  <w:style w:type="paragraph" w:styleId="Overskrift7">
    <w:name w:val="heading 7"/>
    <w:basedOn w:val="Overskrift3"/>
    <w:next w:val="Normal"/>
    <w:qFormat/>
    <w:rsid w:val="00F025AC"/>
    <w:pPr>
      <w:numPr>
        <w:ilvl w:val="0"/>
        <w:numId w:val="0"/>
      </w:numPr>
      <w:tabs>
        <w:tab w:val="left" w:pos="851"/>
      </w:tabs>
      <w:outlineLvl w:val="6"/>
    </w:pPr>
    <w:rPr>
      <w:szCs w:val="24"/>
    </w:rPr>
  </w:style>
  <w:style w:type="paragraph" w:styleId="Overskrift8">
    <w:name w:val="heading 8"/>
    <w:basedOn w:val="Overskrift4"/>
    <w:next w:val="Normal"/>
    <w:qFormat/>
    <w:rsid w:val="00F025AC"/>
    <w:pPr>
      <w:numPr>
        <w:ilvl w:val="0"/>
        <w:numId w:val="0"/>
      </w:numPr>
      <w:tabs>
        <w:tab w:val="left" w:pos="992"/>
      </w:tabs>
      <w:outlineLvl w:val="7"/>
    </w:pPr>
    <w:rPr>
      <w:iCs/>
      <w:szCs w:val="24"/>
    </w:rPr>
  </w:style>
  <w:style w:type="paragraph" w:styleId="Overskrift9">
    <w:name w:val="heading 9"/>
    <w:basedOn w:val="Normal"/>
    <w:next w:val="Normal"/>
    <w:qFormat/>
    <w:rsid w:val="00EC0709"/>
    <w:pPr>
      <w:keepNext/>
      <w:tabs>
        <w:tab w:val="clear" w:pos="567"/>
        <w:tab w:val="clear" w:pos="1134"/>
        <w:tab w:val="clear" w:pos="1701"/>
      </w:tabs>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rsid w:val="001B2E09"/>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rsid w:val="001B2E09"/>
    <w:pPr>
      <w:tabs>
        <w:tab w:val="clear" w:pos="567"/>
        <w:tab w:val="clear" w:pos="1134"/>
        <w:tab w:val="clear" w:pos="1701"/>
        <w:tab w:val="left" w:pos="737"/>
      </w:tabs>
    </w:pPr>
    <w:rPr>
      <w:rFonts w:cs="Arial"/>
      <w:sz w:val="19"/>
      <w:szCs w:val="24"/>
    </w:rPr>
  </w:style>
  <w:style w:type="paragraph" w:customStyle="1" w:styleId="Brevoverskrift">
    <w:name w:val="Brevoverskrift"/>
    <w:basedOn w:val="Normal"/>
    <w:rsid w:val="00F025AC"/>
    <w:rPr>
      <w:b/>
      <w:bCs w:val="0"/>
    </w:rPr>
  </w:style>
  <w:style w:type="paragraph" w:styleId="Dato">
    <w:name w:val="Date"/>
    <w:basedOn w:val="Normal"/>
    <w:next w:val="Normal"/>
    <w:rsid w:val="001B2E09"/>
  </w:style>
  <w:style w:type="paragraph" w:customStyle="1" w:styleId="Direkte">
    <w:name w:val="Direkte"/>
    <w:basedOn w:val="Normal"/>
    <w:next w:val="Normal"/>
    <w:rsid w:val="001B2E09"/>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sz w:val="17"/>
      <w:vertAlign w:val="superscript"/>
    </w:rPr>
  </w:style>
  <w:style w:type="paragraph" w:styleId="Fodnotetekst">
    <w:name w:val="footnote text"/>
    <w:basedOn w:val="Normal"/>
    <w:semiHidden/>
    <w:rsid w:val="001B2E09"/>
    <w:pPr>
      <w:tabs>
        <w:tab w:val="clear" w:pos="567"/>
        <w:tab w:val="clear" w:pos="1134"/>
        <w:tab w:val="clear" w:pos="1701"/>
        <w:tab w:val="left" w:pos="369"/>
      </w:tabs>
      <w:spacing w:line="240" w:lineRule="auto"/>
      <w:ind w:left="369" w:hanging="369"/>
    </w:pPr>
    <w:rPr>
      <w:sz w:val="17"/>
    </w:rPr>
  </w:style>
  <w:style w:type="paragraph" w:styleId="Indholdsfortegnelse1">
    <w:name w:val="toc 1"/>
    <w:basedOn w:val="Normal"/>
    <w:next w:val="Normal"/>
    <w:semiHidden/>
    <w:rsid w:val="001B2E09"/>
    <w:pPr>
      <w:tabs>
        <w:tab w:val="clear" w:pos="1134"/>
        <w:tab w:val="clear" w:pos="1701"/>
        <w:tab w:val="right" w:leader="dot" w:pos="8823"/>
      </w:tabs>
      <w:spacing w:line="348" w:lineRule="auto"/>
      <w:ind w:left="567" w:right="567" w:hanging="567"/>
      <w:jc w:val="left"/>
    </w:pPr>
    <w:rPr>
      <w:caps/>
      <w:sz w:val="19"/>
    </w:rPr>
  </w:style>
  <w:style w:type="paragraph" w:styleId="Indholdsfortegnelse2">
    <w:name w:val="toc 2"/>
    <w:basedOn w:val="Normal"/>
    <w:next w:val="Normal"/>
    <w:semiHidden/>
    <w:rsid w:val="001B2E09"/>
    <w:pPr>
      <w:tabs>
        <w:tab w:val="clear" w:pos="567"/>
        <w:tab w:val="clear" w:pos="1134"/>
        <w:tab w:val="clear" w:pos="1701"/>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semiHidden/>
    <w:rsid w:val="001B2E09"/>
    <w:pPr>
      <w:tabs>
        <w:tab w:val="clear" w:pos="567"/>
        <w:tab w:val="clear" w:pos="1134"/>
        <w:tab w:val="clear" w:pos="1701"/>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1B2E09"/>
    <w:pPr>
      <w:tabs>
        <w:tab w:val="clear" w:pos="567"/>
        <w:tab w:val="clear" w:pos="1134"/>
        <w:tab w:val="clear" w:pos="1701"/>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1B2E09"/>
    <w:pPr>
      <w:tabs>
        <w:tab w:val="clear" w:pos="567"/>
        <w:tab w:val="clear" w:pos="1134"/>
        <w:tab w:val="clear" w:pos="1701"/>
      </w:tabs>
      <w:ind w:left="720"/>
    </w:pPr>
  </w:style>
  <w:style w:type="paragraph" w:styleId="Indholdsfortegnelse6">
    <w:name w:val="toc 6"/>
    <w:basedOn w:val="Normal"/>
    <w:next w:val="Normal"/>
    <w:autoRedefine/>
    <w:semiHidden/>
    <w:rsid w:val="001B2E09"/>
    <w:pPr>
      <w:tabs>
        <w:tab w:val="clear" w:pos="567"/>
        <w:tab w:val="clear" w:pos="1134"/>
        <w:tab w:val="clear" w:pos="1701"/>
      </w:tabs>
      <w:ind w:left="900"/>
    </w:pPr>
  </w:style>
  <w:style w:type="paragraph" w:styleId="Indholdsfortegnelse7">
    <w:name w:val="toc 7"/>
    <w:basedOn w:val="Normal"/>
    <w:next w:val="Normal"/>
    <w:autoRedefine/>
    <w:semiHidden/>
    <w:rsid w:val="001B2E09"/>
    <w:pPr>
      <w:tabs>
        <w:tab w:val="clear" w:pos="567"/>
        <w:tab w:val="clear" w:pos="1134"/>
        <w:tab w:val="clear" w:pos="1701"/>
      </w:tabs>
      <w:ind w:left="1080"/>
    </w:pPr>
  </w:style>
  <w:style w:type="paragraph" w:styleId="Indholdsfortegnelse8">
    <w:name w:val="toc 8"/>
    <w:basedOn w:val="Normal"/>
    <w:next w:val="Normal"/>
    <w:autoRedefine/>
    <w:semiHidden/>
    <w:rsid w:val="001B2E09"/>
    <w:pPr>
      <w:tabs>
        <w:tab w:val="clear" w:pos="567"/>
        <w:tab w:val="clear" w:pos="1134"/>
        <w:tab w:val="clear" w:pos="1701"/>
      </w:tabs>
      <w:ind w:left="1260"/>
    </w:pPr>
  </w:style>
  <w:style w:type="paragraph" w:styleId="Indholdsfortegnelse9">
    <w:name w:val="toc 9"/>
    <w:basedOn w:val="Normal"/>
    <w:next w:val="Normal"/>
    <w:autoRedefine/>
    <w:semiHidden/>
    <w:rsid w:val="001B2E09"/>
    <w:pPr>
      <w:tabs>
        <w:tab w:val="clear" w:pos="567"/>
        <w:tab w:val="clear" w:pos="1134"/>
        <w:tab w:val="clear" w:pos="1701"/>
      </w:tabs>
      <w:ind w:left="1440"/>
    </w:pPr>
  </w:style>
  <w:style w:type="character" w:styleId="Kommentarhenvisning">
    <w:name w:val="annotation reference"/>
    <w:basedOn w:val="Standardskrifttypeiafsnit"/>
    <w:semiHidden/>
    <w:rsid w:val="001B2E09"/>
    <w:rPr>
      <w:sz w:val="16"/>
      <w:szCs w:val="16"/>
    </w:rPr>
  </w:style>
  <w:style w:type="paragraph" w:styleId="Kommentartekst">
    <w:name w:val="annotation text"/>
    <w:basedOn w:val="Normal"/>
    <w:link w:val="KommentartekstTegn"/>
    <w:semiHidden/>
    <w:rsid w:val="001B2E09"/>
  </w:style>
  <w:style w:type="character" w:styleId="Linjenummer">
    <w:name w:val="line number"/>
    <w:basedOn w:val="Standardskrifttypeiafsnit"/>
    <w:rsid w:val="001B2E09"/>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tabs>
        <w:tab w:val="clear" w:pos="1134"/>
        <w:tab w:val="clear" w:pos="1701"/>
      </w:tabs>
      <w:spacing w:before="200" w:after="300" w:line="312" w:lineRule="auto"/>
    </w:pPr>
    <w:rPr>
      <w:b/>
      <w:bCs w:val="0"/>
    </w:rPr>
  </w:style>
  <w:style w:type="paragraph" w:styleId="Noteoverskrift">
    <w:name w:val="Note Heading"/>
    <w:basedOn w:val="Normal"/>
    <w:next w:val="Normal"/>
    <w:rsid w:val="001B2E09"/>
  </w:style>
  <w:style w:type="paragraph" w:styleId="Opstilling">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uiPriority w:val="99"/>
    <w:rsid w:val="001B2E09"/>
    <w:pPr>
      <w:numPr>
        <w:numId w:val="1"/>
      </w:numPr>
    </w:pPr>
  </w:style>
  <w:style w:type="paragraph" w:styleId="Opstilling-punkttegn2">
    <w:name w:val="List Bullet 2"/>
    <w:basedOn w:val="Normal"/>
    <w:autoRedefine/>
    <w:rsid w:val="001B2E09"/>
    <w:pPr>
      <w:numPr>
        <w:numId w:val="2"/>
      </w:numPr>
    </w:pPr>
  </w:style>
  <w:style w:type="paragraph" w:styleId="Opstilling-punkttegn3">
    <w:name w:val="List Bullet 3"/>
    <w:basedOn w:val="Normal"/>
    <w:autoRedefine/>
    <w:rsid w:val="001B2E09"/>
    <w:pPr>
      <w:numPr>
        <w:numId w:val="3"/>
      </w:numPr>
    </w:pPr>
  </w:style>
  <w:style w:type="paragraph" w:styleId="Opstilling-punkttegn4">
    <w:name w:val="List Bullet 4"/>
    <w:basedOn w:val="Normal"/>
    <w:autoRedefine/>
    <w:rsid w:val="001B2E09"/>
    <w:pPr>
      <w:numPr>
        <w:numId w:val="4"/>
      </w:numPr>
    </w:pPr>
  </w:style>
  <w:style w:type="paragraph" w:styleId="Opstilling-punkttegn5">
    <w:name w:val="List Bullet 5"/>
    <w:basedOn w:val="Normal"/>
    <w:autoRedefine/>
    <w:rsid w:val="001B2E09"/>
    <w:pPr>
      <w:numPr>
        <w:numId w:val="5"/>
      </w:numPr>
    </w:pPr>
  </w:style>
  <w:style w:type="paragraph" w:styleId="Opstilling-talellerbogst">
    <w:name w:val="List Number"/>
    <w:basedOn w:val="Normal"/>
    <w:rsid w:val="001B2E09"/>
    <w:pPr>
      <w:numPr>
        <w:numId w:val="6"/>
      </w:numPr>
    </w:pPr>
  </w:style>
  <w:style w:type="paragraph" w:styleId="Opstilling-talellerbogst2">
    <w:name w:val="List Number 2"/>
    <w:basedOn w:val="Normal"/>
    <w:rsid w:val="001B2E09"/>
    <w:pPr>
      <w:numPr>
        <w:numId w:val="7"/>
      </w:numPr>
    </w:pPr>
  </w:style>
  <w:style w:type="paragraph" w:styleId="Opstilling-talellerbogst3">
    <w:name w:val="List Number 3"/>
    <w:basedOn w:val="Normal"/>
    <w:rsid w:val="001B2E09"/>
    <w:pPr>
      <w:numPr>
        <w:numId w:val="8"/>
      </w:numPr>
    </w:pPr>
  </w:style>
  <w:style w:type="paragraph" w:styleId="Opstilling-talellerbogst4">
    <w:name w:val="List Number 4"/>
    <w:basedOn w:val="Normal"/>
    <w:rsid w:val="001B2E09"/>
    <w:pPr>
      <w:numPr>
        <w:numId w:val="9"/>
      </w:numPr>
    </w:pPr>
  </w:style>
  <w:style w:type="paragraph" w:styleId="Opstilling-talellerbogst5">
    <w:name w:val="List Number 5"/>
    <w:basedOn w:val="Normal"/>
    <w:rsid w:val="001B2E09"/>
    <w:pPr>
      <w:numPr>
        <w:numId w:val="10"/>
      </w:numPr>
    </w:pPr>
  </w:style>
  <w:style w:type="paragraph" w:styleId="Opstilling2">
    <w:name w:val="List 2"/>
    <w:basedOn w:val="Normal"/>
    <w:rsid w:val="001B2E09"/>
    <w:pPr>
      <w:ind w:left="566" w:hanging="283"/>
    </w:pPr>
  </w:style>
  <w:style w:type="paragraph" w:styleId="Opstilling3">
    <w:name w:val="List 3"/>
    <w:basedOn w:val="Normal"/>
    <w:rsid w:val="001B2E09"/>
    <w:pPr>
      <w:ind w:left="849" w:hanging="283"/>
    </w:pPr>
  </w:style>
  <w:style w:type="paragraph" w:styleId="Opstilling4">
    <w:name w:val="List 4"/>
    <w:basedOn w:val="Normal"/>
    <w:rsid w:val="001B2E09"/>
    <w:pPr>
      <w:ind w:left="1132" w:hanging="283"/>
    </w:pPr>
  </w:style>
  <w:style w:type="paragraph" w:styleId="Opstilling5">
    <w:name w:val="List 5"/>
    <w:basedOn w:val="Normal"/>
    <w:rsid w:val="001B2E09"/>
    <w:pPr>
      <w:ind w:left="1415" w:hanging="283"/>
    </w:pPr>
  </w:style>
  <w:style w:type="paragraph" w:styleId="Sidefod">
    <w:name w:val="footer"/>
    <w:basedOn w:val="Normal"/>
    <w:rsid w:val="001B2E09"/>
    <w:pPr>
      <w:tabs>
        <w:tab w:val="clear" w:pos="567"/>
        <w:tab w:val="clear" w:pos="1134"/>
        <w:tab w:val="clear" w:pos="1701"/>
      </w:tabs>
      <w:jc w:val="center"/>
    </w:pPr>
    <w:rPr>
      <w:sz w:val="14"/>
    </w:rPr>
  </w:style>
  <w:style w:type="paragraph" w:styleId="Sidehoved">
    <w:name w:val="header"/>
    <w:basedOn w:val="Normal"/>
    <w:rsid w:val="001B2E09"/>
    <w:pPr>
      <w:tabs>
        <w:tab w:val="clear" w:pos="567"/>
        <w:tab w:val="clear" w:pos="1134"/>
        <w:tab w:val="clear" w:pos="1701"/>
      </w:tabs>
    </w:pPr>
  </w:style>
  <w:style w:type="character" w:styleId="Sidetal">
    <w:name w:val="page number"/>
    <w:basedOn w:val="Standardskrifttypeiafsnit"/>
    <w:uiPriority w:val="12"/>
    <w:rsid w:val="009B1DE3"/>
    <w:rPr>
      <w:sz w:val="16"/>
    </w:rPr>
  </w:style>
  <w:style w:type="character" w:styleId="Slutnotehenvisning">
    <w:name w:val="endnote reference"/>
    <w:basedOn w:val="Standardskrifttypeiafsnit"/>
    <w:semiHidden/>
    <w:rsid w:val="001B2E09"/>
    <w:rPr>
      <w:sz w:val="17"/>
      <w:vertAlign w:val="superscript"/>
    </w:rPr>
  </w:style>
  <w:style w:type="paragraph" w:styleId="Slutnotetekst">
    <w:name w:val="endnote text"/>
    <w:basedOn w:val="Normal"/>
    <w:semiHidden/>
    <w:rsid w:val="001B2E09"/>
    <w:pPr>
      <w:tabs>
        <w:tab w:val="clear" w:pos="567"/>
        <w:tab w:val="clear" w:pos="1134"/>
        <w:tab w:val="clear" w:pos="1701"/>
        <w:tab w:val="left" w:pos="369"/>
      </w:tabs>
      <w:spacing w:line="240" w:lineRule="auto"/>
      <w:ind w:left="369" w:hanging="369"/>
    </w:pPr>
    <w:rPr>
      <w:sz w:val="17"/>
    </w:rPr>
  </w:style>
  <w:style w:type="paragraph" w:styleId="Titel">
    <w:name w:val="Title"/>
    <w:basedOn w:val="Normal"/>
    <w:qFormat/>
    <w:rsid w:val="00F025AC"/>
    <w:pPr>
      <w:keepNext/>
      <w:spacing w:after="240" w:line="240" w:lineRule="auto"/>
      <w:jc w:val="left"/>
    </w:pPr>
    <w:rPr>
      <w:rFonts w:cs="Arial"/>
      <w:sz w:val="44"/>
      <w:szCs w:val="32"/>
    </w:rPr>
  </w:style>
  <w:style w:type="paragraph" w:styleId="Underskrift">
    <w:name w:val="Signature"/>
    <w:basedOn w:val="Normal"/>
    <w:rsid w:val="001B2E09"/>
    <w:pPr>
      <w:ind w:left="4252"/>
    </w:pPr>
  </w:style>
  <w:style w:type="paragraph" w:customStyle="1" w:styleId="Modtager">
    <w:name w:val="Modtager"/>
    <w:basedOn w:val="Normal"/>
    <w:next w:val="Normal"/>
    <w:rsid w:val="00EF5F1F"/>
    <w:pPr>
      <w:tabs>
        <w:tab w:val="clear" w:pos="567"/>
        <w:tab w:val="clear" w:pos="1134"/>
        <w:tab w:val="clear" w:pos="1701"/>
      </w:tabs>
      <w:spacing w:line="312" w:lineRule="auto"/>
    </w:pPr>
  </w:style>
  <w:style w:type="paragraph" w:styleId="Listeafsnit">
    <w:name w:val="List Paragraph"/>
    <w:basedOn w:val="Normal"/>
    <w:uiPriority w:val="99"/>
    <w:qFormat/>
    <w:rsid w:val="00535651"/>
    <w:pPr>
      <w:ind w:left="720"/>
      <w:contextualSpacing/>
    </w:pPr>
  </w:style>
  <w:style w:type="paragraph" w:customStyle="1" w:styleId="Indlg">
    <w:name w:val="Indlæg"/>
    <w:basedOn w:val="Normal"/>
    <w:next w:val="Normal"/>
    <w:autoRedefine/>
    <w:qFormat/>
    <w:rsid w:val="00774694"/>
    <w:pPr>
      <w:numPr>
        <w:numId w:val="12"/>
      </w:numPr>
      <w:tabs>
        <w:tab w:val="clear" w:pos="567"/>
        <w:tab w:val="clear" w:pos="1134"/>
        <w:tab w:val="clear" w:pos="1701"/>
        <w:tab w:val="left" w:pos="0"/>
      </w:tabs>
      <w:ind w:left="0" w:hanging="567"/>
    </w:pPr>
  </w:style>
  <w:style w:type="paragraph" w:customStyle="1" w:styleId="AdresseOplysninger">
    <w:name w:val="AdresseOplysninger"/>
    <w:basedOn w:val="Normal"/>
    <w:qFormat/>
    <w:rsid w:val="00955A56"/>
    <w:pPr>
      <w:tabs>
        <w:tab w:val="clear" w:pos="567"/>
        <w:tab w:val="clear" w:pos="1134"/>
        <w:tab w:val="clear" w:pos="1701"/>
        <w:tab w:val="left" w:pos="2183"/>
      </w:tabs>
      <w:spacing w:line="240" w:lineRule="auto"/>
    </w:pPr>
    <w:rPr>
      <w:sz w:val="16"/>
    </w:rPr>
  </w:style>
  <w:style w:type="paragraph" w:customStyle="1" w:styleId="DatoFelt">
    <w:name w:val="DatoFelt"/>
    <w:basedOn w:val="Normal"/>
    <w:next w:val="Normal"/>
    <w:qFormat/>
    <w:rsid w:val="00F025AC"/>
    <w:pPr>
      <w:spacing w:after="200" w:line="220" w:lineRule="exact"/>
    </w:pPr>
    <w:rPr>
      <w:b/>
      <w:caps/>
      <w:sz w:val="16"/>
      <w:szCs w:val="16"/>
    </w:rPr>
  </w:style>
  <w:style w:type="paragraph" w:customStyle="1" w:styleId="DirekteOplysninger">
    <w:name w:val="DirekteOplysninger"/>
    <w:basedOn w:val="Normal"/>
    <w:qFormat/>
    <w:rsid w:val="00F025AC"/>
    <w:pPr>
      <w:spacing w:line="240" w:lineRule="auto"/>
    </w:pPr>
    <w:rPr>
      <w:sz w:val="16"/>
      <w:szCs w:val="16"/>
    </w:rPr>
  </w:style>
  <w:style w:type="paragraph" w:customStyle="1" w:styleId="notaoplysninger">
    <w:name w:val="notaoplysninger"/>
    <w:basedOn w:val="Normal"/>
    <w:rsid w:val="00F025AC"/>
    <w:pPr>
      <w:tabs>
        <w:tab w:val="clear" w:pos="567"/>
        <w:tab w:val="clear" w:pos="1134"/>
        <w:tab w:val="clear" w:pos="1701"/>
        <w:tab w:val="left" w:pos="1080"/>
      </w:tabs>
      <w:spacing w:line="240" w:lineRule="auto"/>
      <w:ind w:left="1077" w:hanging="1077"/>
    </w:pPr>
    <w:rPr>
      <w:rFonts w:cs="Tahoma"/>
      <w:sz w:val="17"/>
    </w:rPr>
  </w:style>
  <w:style w:type="paragraph" w:customStyle="1" w:styleId="SagsnrFelt">
    <w:name w:val="SagsnrFelt"/>
    <w:basedOn w:val="DatoFelt"/>
    <w:next w:val="DirekteOplysninger"/>
    <w:qFormat/>
    <w:rsid w:val="00F025AC"/>
    <w:rPr>
      <w:b w:val="0"/>
      <w:caps w:val="0"/>
    </w:rPr>
  </w:style>
  <w:style w:type="character" w:customStyle="1" w:styleId="Stilling">
    <w:name w:val="Stilling"/>
    <w:uiPriority w:val="99"/>
    <w:rsid w:val="00F025AC"/>
    <w:rPr>
      <w:i/>
      <w:color w:val="auto"/>
      <w:szCs w:val="23"/>
    </w:rPr>
  </w:style>
  <w:style w:type="paragraph" w:styleId="Markeringsbobletekst">
    <w:name w:val="Balloon Text"/>
    <w:basedOn w:val="Normal"/>
    <w:link w:val="MarkeringsbobletekstTegn"/>
    <w:semiHidden/>
    <w:unhideWhenUsed/>
    <w:rsid w:val="009A53F1"/>
    <w:pPr>
      <w:spacing w:line="240" w:lineRule="auto"/>
    </w:pPr>
    <w:rPr>
      <w:rFonts w:cs="Tahoma"/>
      <w:sz w:val="16"/>
      <w:szCs w:val="16"/>
    </w:rPr>
  </w:style>
  <w:style w:type="character" w:customStyle="1" w:styleId="MarkeringsbobletekstTegn">
    <w:name w:val="Markeringsbobletekst Tegn"/>
    <w:basedOn w:val="Standardskrifttypeiafsnit"/>
    <w:link w:val="Markeringsbobletekst"/>
    <w:semiHidden/>
    <w:rsid w:val="009A53F1"/>
    <w:rPr>
      <w:rFonts w:ascii="Tahoma" w:hAnsi="Tahoma" w:cs="Tahoma"/>
      <w:bCs/>
      <w:spacing w:val="10"/>
      <w:sz w:val="16"/>
      <w:szCs w:val="16"/>
      <w:lang w:val="da-DK"/>
    </w:rPr>
  </w:style>
  <w:style w:type="paragraph" w:styleId="Kommentaremne">
    <w:name w:val="annotation subject"/>
    <w:basedOn w:val="Kommentartekst"/>
    <w:next w:val="Kommentartekst"/>
    <w:link w:val="KommentaremneTegn"/>
    <w:semiHidden/>
    <w:unhideWhenUsed/>
    <w:rsid w:val="005746A2"/>
    <w:pPr>
      <w:spacing w:line="240" w:lineRule="auto"/>
    </w:pPr>
    <w:rPr>
      <w:b/>
    </w:rPr>
  </w:style>
  <w:style w:type="character" w:customStyle="1" w:styleId="KommentartekstTegn">
    <w:name w:val="Kommentartekst Tegn"/>
    <w:basedOn w:val="Standardskrifttypeiafsnit"/>
    <w:link w:val="Kommentartekst"/>
    <w:semiHidden/>
    <w:rsid w:val="005746A2"/>
    <w:rPr>
      <w:rFonts w:ascii="Tahoma" w:hAnsi="Tahoma"/>
      <w:bCs/>
      <w:spacing w:val="10"/>
      <w:lang w:val="da-DK"/>
    </w:rPr>
  </w:style>
  <w:style w:type="character" w:customStyle="1" w:styleId="KommentaremneTegn">
    <w:name w:val="Kommentaremne Tegn"/>
    <w:basedOn w:val="KommentartekstTegn"/>
    <w:link w:val="Kommentaremne"/>
    <w:rsid w:val="005746A2"/>
    <w:rPr>
      <w:rFonts w:ascii="Tahoma" w:hAnsi="Tahoma"/>
      <w:bCs/>
      <w:spacing w:val="1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59731">
      <w:bodyDiv w:val="1"/>
      <w:marLeft w:val="0"/>
      <w:marRight w:val="0"/>
      <w:marTop w:val="0"/>
      <w:marBottom w:val="0"/>
      <w:divBdr>
        <w:top w:val="none" w:sz="0" w:space="0" w:color="auto"/>
        <w:left w:val="none" w:sz="0" w:space="0" w:color="auto"/>
        <w:bottom w:val="none" w:sz="0" w:space="0" w:color="auto"/>
        <w:right w:val="none" w:sz="0" w:space="0" w:color="auto"/>
      </w:divBdr>
    </w:div>
    <w:div w:id="8443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AD7BE-8D91-4C16-8A18-12EBCCBA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5686</Characters>
  <Application>Microsoft Office Word</Application>
  <DocSecurity>0</DocSecurity>
  <Lines>132</Lines>
  <Paragraphs>40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2020-09-10T09:06:00Z</dcterms:created>
  <dcterms:modified xsi:type="dcterms:W3CDTF">2020-09-10T09:06:00Z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43195</vt:lpwstr>
  </property>
  <property fmtid="{D5CDD505-2E9C-101B-9397-08002B2CF9AE}" pid="3" name="SD_IntegrationInfoAdded">
    <vt:bool>true</vt:bool>
  </property>
  <property fmtid="{D5CDD505-2E9C-101B-9397-08002B2CF9AE}" pid="4" name="ContentRemapped">
    <vt:lpwstr>true</vt:lpwstr>
  </property>
  <property fmtid="{D5CDD505-2E9C-101B-9397-08002B2CF9AE}" pid="5" name="TitusGUID">
    <vt:lpwstr>3e15a90a-73ad-444e-acad-252409bf4617</vt:lpwstr>
  </property>
  <property fmtid="{D5CDD505-2E9C-101B-9397-08002B2CF9AE}" pid="6" name="Klassifikation">
    <vt:lpwstr>IKKE KLASSIFICERET</vt:lpwstr>
  </property>
  <property fmtid="{D5CDD505-2E9C-101B-9397-08002B2CF9AE}" pid="7" name="Maerkning">
    <vt:lpwstr/>
  </property>
</Properties>
</file>