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7"/>
        <w:gridCol w:w="624"/>
        <w:gridCol w:w="2019"/>
      </w:tblGrid>
      <w:tr w:rsidR="001128CF">
        <w:trPr>
          <w:trHeight w:hRule="exact" w:val="910"/>
        </w:trPr>
        <w:tc>
          <w:tcPr>
            <w:tcW w:w="7257" w:type="dxa"/>
            <w:tcBorders>
              <w:bottom w:val="single" w:sz="2" w:space="0" w:color="auto"/>
            </w:tcBorders>
          </w:tcPr>
          <w:p w:rsidR="004A299E" w:rsidRPr="00116707" w:rsidRDefault="004A299E" w:rsidP="004A299E">
            <w:pPr>
              <w:rPr>
                <w:sz w:val="36"/>
                <w:szCs w:val="36"/>
              </w:rPr>
            </w:pPr>
            <w:bookmarkStart w:id="0" w:name="_GoBack"/>
            <w:bookmarkEnd w:id="0"/>
            <w:r w:rsidRPr="00116707">
              <w:rPr>
                <w:sz w:val="36"/>
                <w:szCs w:val="36"/>
              </w:rPr>
              <w:t xml:space="preserve">Bilag 1: </w:t>
            </w:r>
            <w:r w:rsidR="001F2E13">
              <w:rPr>
                <w:sz w:val="36"/>
                <w:szCs w:val="36"/>
              </w:rPr>
              <w:t xml:space="preserve">Baggrund og </w:t>
            </w:r>
            <w:r w:rsidR="0066520E">
              <w:rPr>
                <w:sz w:val="36"/>
                <w:szCs w:val="36"/>
              </w:rPr>
              <w:t>regel</w:t>
            </w:r>
            <w:r w:rsidR="001F2E13">
              <w:rPr>
                <w:sz w:val="36"/>
                <w:szCs w:val="36"/>
              </w:rPr>
              <w:t>grundlag for kreditkort</w:t>
            </w:r>
          </w:p>
          <w:p w:rsidR="001128CF" w:rsidRPr="002A786E" w:rsidRDefault="001128CF" w:rsidP="00F64985">
            <w:pPr>
              <w:pStyle w:val="DokTitel"/>
            </w:pPr>
          </w:p>
        </w:tc>
        <w:tc>
          <w:tcPr>
            <w:tcW w:w="624" w:type="dxa"/>
          </w:tcPr>
          <w:p w:rsidR="001128CF" w:rsidRPr="002A786E" w:rsidRDefault="001128CF" w:rsidP="00D2297E">
            <w:pPr>
              <w:pStyle w:val="DokTitel"/>
            </w:pPr>
          </w:p>
        </w:tc>
        <w:tc>
          <w:tcPr>
            <w:tcW w:w="2019" w:type="dxa"/>
          </w:tcPr>
          <w:p w:rsidR="001128CF" w:rsidRDefault="00BA0260" w:rsidP="00F74E86">
            <w:bookmarkStart w:id="1" w:name="BmDato"/>
            <w:bookmarkEnd w:id="1"/>
            <w:r>
              <w:t>Juni</w:t>
            </w:r>
            <w:r w:rsidR="001F2E13">
              <w:t xml:space="preserve"> 2018</w:t>
            </w:r>
          </w:p>
          <w:p w:rsidR="001128CF" w:rsidRDefault="001128CF" w:rsidP="004A299E">
            <w:bookmarkStart w:id="2" w:name="BmOmraade"/>
            <w:bookmarkStart w:id="3" w:name="BmJournalnr"/>
            <w:bookmarkEnd w:id="2"/>
            <w:bookmarkEnd w:id="3"/>
          </w:p>
        </w:tc>
      </w:tr>
    </w:tbl>
    <w:p w:rsidR="00036755" w:rsidRDefault="008D7274" w:rsidP="004A299E">
      <w:pPr>
        <w:pStyle w:val="Overskrift1"/>
        <w:sectPr w:rsidR="00036755" w:rsidSect="00F649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325" w:right="2835" w:bottom="1361" w:left="1418" w:header="2325" w:footer="709" w:gutter="0"/>
          <w:cols w:space="708"/>
          <w:docGrid w:linePitch="360"/>
        </w:sectPr>
      </w:pPr>
      <w:bookmarkStart w:id="4" w:name="BmOverskrift"/>
      <w:bookmarkStart w:id="5" w:name="_Toc332108113"/>
      <w:bookmarkStart w:id="6" w:name="_Toc332108141"/>
      <w:bookmarkStart w:id="7" w:name="_Toc332108189"/>
      <w:bookmarkStart w:id="8" w:name="_Toc332195945"/>
      <w:bookmarkStart w:id="9" w:name="_Toc334617417"/>
      <w:bookmarkStart w:id="10" w:name="_Toc334687148"/>
      <w:bookmarkStart w:id="11" w:name="_Toc335307893"/>
      <w:bookmarkStart w:id="12" w:name="_Toc508456087"/>
      <w:bookmarkStart w:id="13" w:name="_Toc508457121"/>
      <w:bookmarkStart w:id="14" w:name="_Toc508457748"/>
      <w:bookmarkStart w:id="15" w:name="_Toc513031400"/>
      <w:bookmarkStart w:id="16" w:name="_Toc513031530"/>
      <w:bookmarkEnd w:id="4"/>
      <w:r>
        <w:rPr>
          <w:noProof/>
          <w:lang w:eastAsia="da-DK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align>center</wp:align>
            </wp:positionH>
            <wp:positionV relativeFrom="page">
              <wp:posOffset>377825</wp:posOffset>
            </wp:positionV>
            <wp:extent cx="2245995" cy="417195"/>
            <wp:effectExtent l="0" t="0" r="1905" b="1905"/>
            <wp:wrapSquare wrapText="bothSides"/>
            <wp:docPr id="2" name="Billede 0" descr="OES_LOGO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OES_LOGO_R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64985" w:rsidRDefault="00F64985" w:rsidP="00F64985"/>
    <w:p w:rsidR="002A2470" w:rsidRDefault="002A2470" w:rsidP="000E3D49">
      <w:pPr>
        <w:tabs>
          <w:tab w:val="left" w:pos="6259"/>
        </w:tabs>
        <w:rPr>
          <w:b/>
          <w:u w:val="single"/>
        </w:rPr>
      </w:pPr>
    </w:p>
    <w:p w:rsidR="00F64985" w:rsidRPr="00A64D92" w:rsidRDefault="00F64985" w:rsidP="000E3D49">
      <w:pPr>
        <w:tabs>
          <w:tab w:val="left" w:pos="6259"/>
        </w:tabs>
        <w:rPr>
          <w:b/>
        </w:rPr>
      </w:pPr>
      <w:r w:rsidRPr="00A64D92">
        <w:rPr>
          <w:b/>
        </w:rPr>
        <w:t>Indholdsfortegnelse</w:t>
      </w:r>
      <w:r w:rsidR="000E3D49" w:rsidRPr="00A64D92">
        <w:rPr>
          <w:b/>
        </w:rPr>
        <w:tab/>
      </w:r>
    </w:p>
    <w:p w:rsidR="00F64985" w:rsidRPr="00A64D92" w:rsidRDefault="00F64985" w:rsidP="00F64985"/>
    <w:bookmarkStart w:id="17" w:name="_Toc159469538"/>
    <w:p w:rsidR="00D53A2D" w:rsidRPr="00FC7993" w:rsidRDefault="00F64985">
      <w:pPr>
        <w:pStyle w:val="Indholdsfortegnelse1"/>
        <w:tabs>
          <w:tab w:val="right" w:leader="dot" w:pos="7644"/>
        </w:tabs>
        <w:rPr>
          <w:rFonts w:ascii="Calibri" w:hAnsi="Calibri"/>
          <w:b w:val="0"/>
          <w:noProof/>
          <w:szCs w:val="22"/>
        </w:rPr>
      </w:pPr>
      <w:r>
        <w:rPr>
          <w:rFonts w:ascii="Garamond" w:hAnsi="Garamond"/>
          <w:bCs/>
          <w:sz w:val="24"/>
        </w:rPr>
        <w:fldChar w:fldCharType="begin"/>
      </w:r>
      <w:r>
        <w:rPr>
          <w:rFonts w:ascii="Garamond" w:hAnsi="Garamond"/>
          <w:bCs/>
          <w:sz w:val="24"/>
        </w:rPr>
        <w:instrText xml:space="preserve"> TOC \o "1-3" \h \z \u </w:instrText>
      </w:r>
      <w:r>
        <w:rPr>
          <w:rFonts w:ascii="Garamond" w:hAnsi="Garamond"/>
          <w:bCs/>
          <w:sz w:val="24"/>
        </w:rPr>
        <w:fldChar w:fldCharType="separate"/>
      </w:r>
      <w:hyperlink w:anchor="_Toc513031531" w:history="1">
        <w:r w:rsidR="00D53A2D" w:rsidRPr="00C256A0">
          <w:rPr>
            <w:rStyle w:val="Hyperlink"/>
            <w:noProof/>
          </w:rPr>
          <w:t>1 Formål</w:t>
        </w:r>
        <w:r w:rsidR="00D53A2D">
          <w:rPr>
            <w:noProof/>
            <w:webHidden/>
          </w:rPr>
          <w:tab/>
        </w:r>
        <w:r w:rsidR="00D53A2D">
          <w:rPr>
            <w:noProof/>
            <w:webHidden/>
          </w:rPr>
          <w:fldChar w:fldCharType="begin"/>
        </w:r>
        <w:r w:rsidR="00D53A2D">
          <w:rPr>
            <w:noProof/>
            <w:webHidden/>
          </w:rPr>
          <w:instrText xml:space="preserve"> PAGEREF _Toc513031531 \h </w:instrText>
        </w:r>
        <w:r w:rsidR="00D53A2D">
          <w:rPr>
            <w:noProof/>
            <w:webHidden/>
          </w:rPr>
        </w:r>
        <w:r w:rsidR="00D53A2D">
          <w:rPr>
            <w:noProof/>
            <w:webHidden/>
          </w:rPr>
          <w:fldChar w:fldCharType="separate"/>
        </w:r>
        <w:r w:rsidR="00D53A2D">
          <w:rPr>
            <w:noProof/>
            <w:webHidden/>
          </w:rPr>
          <w:t>2</w:t>
        </w:r>
        <w:r w:rsidR="00D53A2D">
          <w:rPr>
            <w:noProof/>
            <w:webHidden/>
          </w:rPr>
          <w:fldChar w:fldCharType="end"/>
        </w:r>
      </w:hyperlink>
    </w:p>
    <w:p w:rsidR="00D53A2D" w:rsidRPr="00FC7993" w:rsidRDefault="00D53A2D">
      <w:pPr>
        <w:pStyle w:val="Indholdsfortegnelse1"/>
        <w:tabs>
          <w:tab w:val="right" w:leader="dot" w:pos="7644"/>
        </w:tabs>
        <w:rPr>
          <w:rFonts w:ascii="Calibri" w:hAnsi="Calibri"/>
          <w:b w:val="0"/>
          <w:noProof/>
          <w:szCs w:val="22"/>
        </w:rPr>
      </w:pPr>
      <w:hyperlink w:anchor="_Toc513031532" w:history="1">
        <w:r w:rsidRPr="00C256A0">
          <w:rPr>
            <w:rStyle w:val="Hyperlink"/>
            <w:noProof/>
          </w:rPr>
          <w:t>2 Statslige regler for betalingskort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_Toc513031532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53A2D" w:rsidRPr="00FC7993" w:rsidRDefault="00D53A2D">
      <w:pPr>
        <w:pStyle w:val="Indholdsfortegnelse2"/>
        <w:tabs>
          <w:tab w:val="right" w:leader="dot" w:pos="7644"/>
        </w:tabs>
        <w:rPr>
          <w:rFonts w:ascii="Calibri" w:hAnsi="Calibri"/>
          <w:noProof/>
          <w:szCs w:val="22"/>
        </w:rPr>
      </w:pPr>
      <w:hyperlink w:anchor="_Toc513031533" w:history="1">
        <w:r w:rsidRPr="00C256A0">
          <w:rPr>
            <w:rStyle w:val="Hyperlink"/>
            <w:noProof/>
          </w:rPr>
          <w:t>2.1 Regnskabsbekendtgørelsen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_Toc513031533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53A2D" w:rsidRPr="00FC7993" w:rsidRDefault="00D53A2D">
      <w:pPr>
        <w:pStyle w:val="Indholdsfortegnelse2"/>
        <w:tabs>
          <w:tab w:val="right" w:leader="dot" w:pos="7644"/>
        </w:tabs>
        <w:rPr>
          <w:rFonts w:ascii="Calibri" w:hAnsi="Calibri"/>
          <w:noProof/>
          <w:szCs w:val="22"/>
        </w:rPr>
      </w:pPr>
      <w:hyperlink w:anchor="_Toc513031534" w:history="1">
        <w:r w:rsidRPr="00C256A0">
          <w:rPr>
            <w:rStyle w:val="Hyperlink"/>
            <w:noProof/>
          </w:rPr>
          <w:t>2.2. Betalingskortcirkulæret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_Toc513031534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4985" w:rsidRDefault="00F64985" w:rsidP="00F64985">
      <w:pPr>
        <w:pStyle w:val="Overskrift1"/>
        <w:ind w:left="360" w:hanging="360"/>
        <w:rPr>
          <w:rFonts w:ascii="Garamond" w:hAnsi="Garamond" w:cs="Times New Roman"/>
          <w:bCs w:val="0"/>
          <w:kern w:val="0"/>
          <w:sz w:val="24"/>
          <w:szCs w:val="24"/>
        </w:rPr>
      </w:pPr>
      <w:r>
        <w:rPr>
          <w:rFonts w:ascii="Garamond" w:hAnsi="Garamond" w:cs="Times New Roman"/>
          <w:bCs w:val="0"/>
          <w:kern w:val="0"/>
          <w:sz w:val="24"/>
          <w:szCs w:val="24"/>
        </w:rPr>
        <w:fldChar w:fldCharType="end"/>
      </w:r>
    </w:p>
    <w:p w:rsidR="00F64985" w:rsidRDefault="00F64985" w:rsidP="00F64985"/>
    <w:p w:rsidR="00F64985" w:rsidRDefault="00F64985" w:rsidP="00F64985"/>
    <w:p w:rsidR="00F64985" w:rsidRDefault="00F64985" w:rsidP="00F64985"/>
    <w:p w:rsidR="00F64985" w:rsidRDefault="00F64985" w:rsidP="00F64985"/>
    <w:p w:rsidR="00F64985" w:rsidRDefault="00F64985" w:rsidP="00F64985"/>
    <w:p w:rsidR="00F64985" w:rsidRPr="00347706" w:rsidRDefault="00F64985" w:rsidP="00F64985"/>
    <w:p w:rsidR="001F2E13" w:rsidRDefault="003A459A" w:rsidP="0066520E">
      <w:pPr>
        <w:pStyle w:val="Overskrift1"/>
      </w:pPr>
      <w:r>
        <w:br w:type="page"/>
      </w:r>
      <w:bookmarkStart w:id="18" w:name="_Toc513031531"/>
      <w:bookmarkEnd w:id="17"/>
      <w:r w:rsidR="0066520E">
        <w:lastRenderedPageBreak/>
        <w:t xml:space="preserve">1 </w:t>
      </w:r>
      <w:r w:rsidR="001F2E13">
        <w:t>Formål</w:t>
      </w:r>
      <w:bookmarkEnd w:id="18"/>
    </w:p>
    <w:p w:rsidR="001F2E13" w:rsidRDefault="001F2E13" w:rsidP="001F2E13">
      <w:r w:rsidRPr="001F2E13">
        <w:t>Formålet med dette bilag er</w:t>
      </w:r>
      <w:r>
        <w:t xml:space="preserve"> at beskrive dels baggrunden for, at Modernisering</w:t>
      </w:r>
      <w:r>
        <w:t>s</w:t>
      </w:r>
      <w:r>
        <w:t xml:space="preserve">styrelsen har valgt at udbyde en kontrakt om kreditkort, og dels de regler, som specifikt regulerer anvendelsen af kreditkort i </w:t>
      </w:r>
      <w:r w:rsidR="0066520E">
        <w:t>staten</w:t>
      </w:r>
      <w:r>
        <w:t>.</w:t>
      </w:r>
    </w:p>
    <w:p w:rsidR="001F2E13" w:rsidRDefault="001F2E13" w:rsidP="001F2E13"/>
    <w:p w:rsidR="001F2E13" w:rsidRDefault="001F2E13" w:rsidP="001F2E13">
      <w:r>
        <w:t>Bilaget redegør på den baggrund ikke for den finansielle lovgivning og andre re</w:t>
      </w:r>
      <w:r>
        <w:t>g</w:t>
      </w:r>
      <w:r>
        <w:t>ler, som</w:t>
      </w:r>
      <w:r w:rsidR="00404B38">
        <w:t xml:space="preserve"> regulerer kreditkort, men alene de statslige regler for de</w:t>
      </w:r>
      <w:r>
        <w:t xml:space="preserve"> kreditkort, som omfattes af ko</w:t>
      </w:r>
      <w:r>
        <w:t>n</w:t>
      </w:r>
      <w:r>
        <w:t>trakten.</w:t>
      </w:r>
    </w:p>
    <w:p w:rsidR="00404B38" w:rsidRDefault="00404B38" w:rsidP="001F2E13"/>
    <w:p w:rsidR="00404B38" w:rsidRDefault="00404B38" w:rsidP="001F2E13">
      <w:r>
        <w:t>Reglerne er rettet mod institutionerne og kortindehaverne</w:t>
      </w:r>
      <w:r w:rsidR="00F4348C">
        <w:t xml:space="preserve"> og regulerer således brugen af kreditkortene.</w:t>
      </w:r>
    </w:p>
    <w:p w:rsidR="007B3ABC" w:rsidRDefault="007B3ABC" w:rsidP="001F2E13"/>
    <w:p w:rsidR="007B3ABC" w:rsidRPr="00BD7A67" w:rsidRDefault="00AB55A9" w:rsidP="001124A5">
      <w:pPr>
        <w:pStyle w:val="Overskrift1"/>
      </w:pPr>
      <w:r>
        <w:br w:type="page"/>
      </w:r>
      <w:bookmarkStart w:id="19" w:name="_Toc513031532"/>
      <w:r w:rsidR="0066520E">
        <w:lastRenderedPageBreak/>
        <w:t xml:space="preserve">2 </w:t>
      </w:r>
      <w:r w:rsidR="007B3ABC" w:rsidRPr="00BD7A67">
        <w:t>Statslige regler for betalingskort</w:t>
      </w:r>
      <w:bookmarkEnd w:id="19"/>
    </w:p>
    <w:p w:rsidR="001F2E13" w:rsidRDefault="00BD7A67" w:rsidP="001124A5">
      <w:pPr>
        <w:pStyle w:val="Overskrift2"/>
      </w:pPr>
      <w:bookmarkStart w:id="20" w:name="_Toc513031533"/>
      <w:r>
        <w:t xml:space="preserve">2.1 </w:t>
      </w:r>
      <w:r w:rsidR="00050021">
        <w:t>R</w:t>
      </w:r>
      <w:r w:rsidR="001F2E13">
        <w:t>egnskabsb</w:t>
      </w:r>
      <w:r w:rsidR="001F2E13">
        <w:t>e</w:t>
      </w:r>
      <w:r w:rsidR="001F2E13">
        <w:t>kendtgørelsen</w:t>
      </w:r>
      <w:bookmarkEnd w:id="20"/>
    </w:p>
    <w:p w:rsidR="000A5F00" w:rsidRDefault="000A5F00" w:rsidP="000A141C"/>
    <w:p w:rsidR="000A141C" w:rsidRDefault="00050021" w:rsidP="000A141C">
      <w:r w:rsidRPr="00050021">
        <w:t>Bekendtgørelse nr. 116 af 19/02/2018 om statens regnskabsvæsen mv. (reg</w:t>
      </w:r>
      <w:r w:rsidRPr="00050021">
        <w:t>n</w:t>
      </w:r>
      <w:r w:rsidRPr="00050021">
        <w:t>skabsbekendtgørelsen)</w:t>
      </w:r>
      <w:r w:rsidR="001F2E13">
        <w:t xml:space="preserve"> er udstedt i medfør af</w:t>
      </w:r>
      <w:r w:rsidR="00C6334B">
        <w:t xml:space="preserve"> lov om statens regnskabsvæsen </w:t>
      </w:r>
      <w:r w:rsidR="005D0754">
        <w:t xml:space="preserve">mv. </w:t>
      </w:r>
      <w:r w:rsidR="00C6334B">
        <w:t>(statsregnskabsloven)</w:t>
      </w:r>
      <w:r w:rsidR="009F4A9D">
        <w:t>. Bekendtgørelsen</w:t>
      </w:r>
      <w:r w:rsidR="00C6334B">
        <w:t xml:space="preserve"> </w:t>
      </w:r>
      <w:r w:rsidR="000A141C">
        <w:t>gælder, jf. bekendtgørelsens § 2, på fo</w:t>
      </w:r>
      <w:r w:rsidR="000A141C">
        <w:t>r</w:t>
      </w:r>
      <w:r w:rsidR="000A141C">
        <w:t>skellig vis for</w:t>
      </w:r>
      <w:r>
        <w:t xml:space="preserve"> fø</w:t>
      </w:r>
      <w:r>
        <w:t>l</w:t>
      </w:r>
      <w:r>
        <w:t>gende typer institutioner:</w:t>
      </w:r>
    </w:p>
    <w:p w:rsidR="000A141C" w:rsidRDefault="000A141C" w:rsidP="000A141C"/>
    <w:p w:rsidR="000A141C" w:rsidRDefault="000A141C" w:rsidP="000A141C">
      <w:r>
        <w:t xml:space="preserve">1) </w:t>
      </w:r>
      <w:r w:rsidRPr="005D0754">
        <w:t>Statsinstitutioner</w:t>
      </w:r>
      <w:r>
        <w:t xml:space="preserve">, dvs. departementer, underliggende institutioner, særlige fonde </w:t>
      </w:r>
    </w:p>
    <w:p w:rsidR="000A141C" w:rsidRDefault="000A141C" w:rsidP="000A141C">
      <w:r>
        <w:t>mv., samt selvejende institutioner, der er optaget på bevillingslovene med en driftsbevilling på lige fod med de egentlige statsinstitutioner.</w:t>
      </w:r>
    </w:p>
    <w:p w:rsidR="000A141C" w:rsidRDefault="000A141C" w:rsidP="000A141C"/>
    <w:p w:rsidR="000A141C" w:rsidRDefault="000A141C" w:rsidP="000A141C">
      <w:r>
        <w:t xml:space="preserve">2) </w:t>
      </w:r>
      <w:r w:rsidRPr="0066520E">
        <w:t>Statsfinansierede selvejende institutioner</w:t>
      </w:r>
      <w:r>
        <w:t>, der modtager tilskud på bevillingsl</w:t>
      </w:r>
      <w:r>
        <w:t>o</w:t>
      </w:r>
      <w:r>
        <w:t>vene under bevillingstypen statsfinansieret selvejende institution.</w:t>
      </w:r>
    </w:p>
    <w:p w:rsidR="000A141C" w:rsidRDefault="000A141C" w:rsidP="000A141C"/>
    <w:p w:rsidR="000A141C" w:rsidRPr="001F2E13" w:rsidRDefault="000A141C" w:rsidP="000A141C">
      <w:r>
        <w:t xml:space="preserve">3) </w:t>
      </w:r>
      <w:r w:rsidRPr="005D0754">
        <w:t>Selvejende institutioner</w:t>
      </w:r>
      <w:r>
        <w:t>, foreninger, fonde mv., hvor vedkommende fagminister har truffet beslutning herom på baggrund af statsregnskabslovens § 2, stk. 2.</w:t>
      </w:r>
    </w:p>
    <w:p w:rsidR="000A141C" w:rsidRDefault="000A141C" w:rsidP="00C6334B"/>
    <w:p w:rsidR="000A141C" w:rsidRDefault="000A141C" w:rsidP="00C6334B">
      <w:r w:rsidRPr="000A141C">
        <w:t>4) Selvejende institutioner, foreninger, fonde mv., som administrerer statslige b</w:t>
      </w:r>
      <w:r w:rsidRPr="000A141C">
        <w:t>e</w:t>
      </w:r>
      <w:r w:rsidRPr="000A141C">
        <w:t>villinger, for hvis administration vedkommende fagminister har truffet beslutning herom på baggrund af statsregnskabslovens § 2 stk. 2.</w:t>
      </w:r>
    </w:p>
    <w:p w:rsidR="000A141C" w:rsidRDefault="000A141C" w:rsidP="00C6334B"/>
    <w:p w:rsidR="00C6334B" w:rsidRPr="00C6334B" w:rsidRDefault="000A141C" w:rsidP="000A141C">
      <w:r>
        <w:t xml:space="preserve">Bekendtgørelsen </w:t>
      </w:r>
      <w:r w:rsidR="00C6334B">
        <w:t>regulerer blandt andet betalingsforretninger, herunder betaling med betalingskort</w:t>
      </w:r>
      <w:r w:rsidR="000A5F00">
        <w:t xml:space="preserve">, jf. </w:t>
      </w:r>
      <w:r>
        <w:t xml:space="preserve">bekendtgørelsens § 30, som er </w:t>
      </w:r>
      <w:r w:rsidR="00C6334B" w:rsidRPr="00C6334B">
        <w:t>sålyde</w:t>
      </w:r>
      <w:r w:rsidR="00C6334B" w:rsidRPr="00C6334B">
        <w:t>n</w:t>
      </w:r>
      <w:r w:rsidR="00C6334B" w:rsidRPr="00C6334B">
        <w:t xml:space="preserve">de: </w:t>
      </w:r>
    </w:p>
    <w:p w:rsidR="00C6334B" w:rsidRPr="00C6334B" w:rsidRDefault="00C6334B" w:rsidP="000A5F00">
      <w:pPr>
        <w:pStyle w:val="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7"/>
          <w:szCs w:val="17"/>
        </w:rPr>
      </w:pPr>
      <w:r>
        <w:rPr>
          <w:rStyle w:val="paragrafnr1"/>
          <w:sz w:val="17"/>
          <w:szCs w:val="17"/>
        </w:rPr>
        <w:t xml:space="preserve">§ 30. </w:t>
      </w:r>
      <w:r>
        <w:rPr>
          <w:sz w:val="17"/>
          <w:szCs w:val="17"/>
        </w:rPr>
        <w:t>Moderniseringsstyrelsen fastsætter retningslinjer om anvendelse af betalingskort for instit</w:t>
      </w:r>
      <w:r>
        <w:rPr>
          <w:sz w:val="17"/>
          <w:szCs w:val="17"/>
        </w:rPr>
        <w:t>u</w:t>
      </w:r>
      <w:r>
        <w:rPr>
          <w:sz w:val="17"/>
          <w:szCs w:val="17"/>
        </w:rPr>
        <w:t>tioner, omfattet af § 2, stk. 1, nr. 1-3. Betaling med anvendelse af betalingskort kan kun ske under iagttagelse af disse retningslinjer og skal beskr</w:t>
      </w:r>
      <w:r>
        <w:rPr>
          <w:sz w:val="17"/>
          <w:szCs w:val="17"/>
        </w:rPr>
        <w:t>i</w:t>
      </w:r>
      <w:r>
        <w:rPr>
          <w:sz w:val="17"/>
          <w:szCs w:val="17"/>
        </w:rPr>
        <w:t>ves i institutionens regnskabsinstruks</w:t>
      </w:r>
      <w:r w:rsidR="000A5F00">
        <w:rPr>
          <w:sz w:val="17"/>
          <w:szCs w:val="17"/>
        </w:rPr>
        <w:t>.</w:t>
      </w:r>
    </w:p>
    <w:p w:rsidR="00C6334B" w:rsidRDefault="00C6334B" w:rsidP="00C6334B"/>
    <w:p w:rsidR="00B87F78" w:rsidRDefault="004B583F" w:rsidP="001124A5">
      <w:pPr>
        <w:pStyle w:val="Overskrift2"/>
      </w:pPr>
      <w:bookmarkStart w:id="21" w:name="_Toc513031534"/>
      <w:r>
        <w:t xml:space="preserve">2.2. </w:t>
      </w:r>
      <w:r w:rsidR="00B87F78">
        <w:t>Betalingskortcirkulæret</w:t>
      </w:r>
      <w:bookmarkEnd w:id="21"/>
    </w:p>
    <w:p w:rsidR="00DF7855" w:rsidRDefault="000A141C" w:rsidP="00DF7855">
      <w:pPr>
        <w:pStyle w:val="paragraf"/>
        <w:ind w:firstLine="0"/>
        <w:rPr>
          <w:rFonts w:ascii="Garamond" w:hAnsi="Garamond" w:cs="Times New Roman"/>
          <w:color w:val="auto"/>
          <w:lang w:eastAsia="en-US"/>
        </w:rPr>
      </w:pPr>
      <w:r>
        <w:rPr>
          <w:rFonts w:ascii="Garamond" w:hAnsi="Garamond" w:cs="Times New Roman"/>
          <w:color w:val="auto"/>
          <w:lang w:eastAsia="en-US"/>
        </w:rPr>
        <w:t xml:space="preserve">Bestemmelsen </w:t>
      </w:r>
      <w:r w:rsidR="0066520E">
        <w:rPr>
          <w:rFonts w:ascii="Garamond" w:hAnsi="Garamond" w:cs="Times New Roman"/>
          <w:color w:val="auto"/>
          <w:lang w:eastAsia="en-US"/>
        </w:rPr>
        <w:t xml:space="preserve">i regnskabsbekendtgørelsen </w:t>
      </w:r>
      <w:r>
        <w:rPr>
          <w:rFonts w:ascii="Garamond" w:hAnsi="Garamond" w:cs="Times New Roman"/>
          <w:color w:val="auto"/>
          <w:lang w:eastAsia="en-US"/>
        </w:rPr>
        <w:t xml:space="preserve">giver Moderniseringsstyrelsen hjemmel til at fastsætte retningslinjer </w:t>
      </w:r>
      <w:r w:rsidR="00B87F78">
        <w:rPr>
          <w:rFonts w:ascii="Garamond" w:hAnsi="Garamond" w:cs="Times New Roman"/>
          <w:color w:val="auto"/>
          <w:lang w:eastAsia="en-US"/>
        </w:rPr>
        <w:t xml:space="preserve">om anvendelse af betalingskort. </w:t>
      </w:r>
      <w:r w:rsidR="00DF7855">
        <w:rPr>
          <w:rFonts w:ascii="Garamond" w:hAnsi="Garamond" w:cs="Times New Roman"/>
          <w:color w:val="auto"/>
          <w:lang w:eastAsia="en-US"/>
        </w:rPr>
        <w:t>Retningslinjerne er udmøntet i cirkulære nr. 24 af 20/04/2010 om anvendelse af betalingskort (bet</w:t>
      </w:r>
      <w:r w:rsidR="00DF7855">
        <w:rPr>
          <w:rFonts w:ascii="Garamond" w:hAnsi="Garamond" w:cs="Times New Roman"/>
          <w:color w:val="auto"/>
          <w:lang w:eastAsia="en-US"/>
        </w:rPr>
        <w:t>a</w:t>
      </w:r>
      <w:r w:rsidR="00DF7855">
        <w:rPr>
          <w:rFonts w:ascii="Garamond" w:hAnsi="Garamond" w:cs="Times New Roman"/>
          <w:color w:val="auto"/>
          <w:lang w:eastAsia="en-US"/>
        </w:rPr>
        <w:t>lingskortci</w:t>
      </w:r>
      <w:r w:rsidR="00DF7855">
        <w:rPr>
          <w:rFonts w:ascii="Garamond" w:hAnsi="Garamond" w:cs="Times New Roman"/>
          <w:color w:val="auto"/>
          <w:lang w:eastAsia="en-US"/>
        </w:rPr>
        <w:t>r</w:t>
      </w:r>
      <w:r w:rsidR="00DF7855">
        <w:rPr>
          <w:rFonts w:ascii="Garamond" w:hAnsi="Garamond" w:cs="Times New Roman"/>
          <w:color w:val="auto"/>
          <w:lang w:eastAsia="en-US"/>
        </w:rPr>
        <w:t xml:space="preserve">kulæret). </w:t>
      </w:r>
    </w:p>
    <w:p w:rsidR="00DF7855" w:rsidRDefault="00DF7855" w:rsidP="00DF7855">
      <w:pPr>
        <w:pStyle w:val="paragraf"/>
        <w:ind w:firstLine="0"/>
        <w:rPr>
          <w:rFonts w:ascii="Garamond" w:hAnsi="Garamond" w:cs="Times New Roman"/>
          <w:color w:val="auto"/>
          <w:lang w:eastAsia="en-US"/>
        </w:rPr>
      </w:pPr>
      <w:r>
        <w:rPr>
          <w:rFonts w:ascii="Garamond" w:hAnsi="Garamond" w:cs="Times New Roman"/>
          <w:color w:val="auto"/>
          <w:lang w:eastAsia="en-US"/>
        </w:rPr>
        <w:t>Cirkulæret</w:t>
      </w:r>
      <w:r w:rsidR="00B87F78">
        <w:rPr>
          <w:rFonts w:ascii="Garamond" w:hAnsi="Garamond" w:cs="Times New Roman"/>
          <w:color w:val="auto"/>
          <w:lang w:eastAsia="en-US"/>
        </w:rPr>
        <w:t xml:space="preserve"> gælder </w:t>
      </w:r>
      <w:r w:rsidR="000A141C">
        <w:rPr>
          <w:rFonts w:ascii="Garamond" w:hAnsi="Garamond" w:cs="Times New Roman"/>
          <w:color w:val="auto"/>
          <w:lang w:eastAsia="en-US"/>
        </w:rPr>
        <w:t>for statsinstitutioner, statsfinansierede selvejende instituti</w:t>
      </w:r>
      <w:r w:rsidR="000A141C">
        <w:rPr>
          <w:rFonts w:ascii="Garamond" w:hAnsi="Garamond" w:cs="Times New Roman"/>
          <w:color w:val="auto"/>
          <w:lang w:eastAsia="en-US"/>
        </w:rPr>
        <w:t>o</w:t>
      </w:r>
      <w:r w:rsidR="000A141C">
        <w:rPr>
          <w:rFonts w:ascii="Garamond" w:hAnsi="Garamond" w:cs="Times New Roman"/>
          <w:color w:val="auto"/>
          <w:lang w:eastAsia="en-US"/>
        </w:rPr>
        <w:t>ner og selvejende institutioner m.v., hvor vedkommende fagminister har truffet b</w:t>
      </w:r>
      <w:r w:rsidR="000A141C">
        <w:rPr>
          <w:rFonts w:ascii="Garamond" w:hAnsi="Garamond" w:cs="Times New Roman"/>
          <w:color w:val="auto"/>
          <w:lang w:eastAsia="en-US"/>
        </w:rPr>
        <w:t>e</w:t>
      </w:r>
      <w:r w:rsidR="000A141C">
        <w:rPr>
          <w:rFonts w:ascii="Garamond" w:hAnsi="Garamond" w:cs="Times New Roman"/>
          <w:color w:val="auto"/>
          <w:lang w:eastAsia="en-US"/>
        </w:rPr>
        <w:t xml:space="preserve">slutning om, at den selvejende institution skal være omfattet af </w:t>
      </w:r>
      <w:r w:rsidR="00B87F78">
        <w:rPr>
          <w:rFonts w:ascii="Garamond" w:hAnsi="Garamond" w:cs="Times New Roman"/>
          <w:color w:val="auto"/>
          <w:lang w:eastAsia="en-US"/>
        </w:rPr>
        <w:t>regnskabs</w:t>
      </w:r>
      <w:r w:rsidR="000A141C">
        <w:rPr>
          <w:rFonts w:ascii="Garamond" w:hAnsi="Garamond" w:cs="Times New Roman"/>
          <w:color w:val="auto"/>
          <w:lang w:eastAsia="en-US"/>
        </w:rPr>
        <w:t>bekend</w:t>
      </w:r>
      <w:r w:rsidR="000A141C">
        <w:rPr>
          <w:rFonts w:ascii="Garamond" w:hAnsi="Garamond" w:cs="Times New Roman"/>
          <w:color w:val="auto"/>
          <w:lang w:eastAsia="en-US"/>
        </w:rPr>
        <w:t>t</w:t>
      </w:r>
      <w:r w:rsidR="000A141C">
        <w:rPr>
          <w:rFonts w:ascii="Garamond" w:hAnsi="Garamond" w:cs="Times New Roman"/>
          <w:color w:val="auto"/>
          <w:lang w:eastAsia="en-US"/>
        </w:rPr>
        <w:t xml:space="preserve">gørelsens regler. </w:t>
      </w:r>
      <w:r>
        <w:rPr>
          <w:rFonts w:ascii="Garamond" w:hAnsi="Garamond" w:cs="Times New Roman"/>
          <w:color w:val="auto"/>
          <w:lang w:eastAsia="en-US"/>
        </w:rPr>
        <w:t>I det omfang andre institutioner aftager kreditkort under ko</w:t>
      </w:r>
      <w:r>
        <w:rPr>
          <w:rFonts w:ascii="Garamond" w:hAnsi="Garamond" w:cs="Times New Roman"/>
          <w:color w:val="auto"/>
          <w:lang w:eastAsia="en-US"/>
        </w:rPr>
        <w:t>n</w:t>
      </w:r>
      <w:r>
        <w:rPr>
          <w:rFonts w:ascii="Garamond" w:hAnsi="Garamond" w:cs="Times New Roman"/>
          <w:color w:val="auto"/>
          <w:lang w:eastAsia="en-US"/>
        </w:rPr>
        <w:t>trakten, er deres brug o</w:t>
      </w:r>
      <w:r>
        <w:rPr>
          <w:rFonts w:ascii="Garamond" w:hAnsi="Garamond" w:cs="Times New Roman"/>
          <w:color w:val="auto"/>
          <w:lang w:eastAsia="en-US"/>
        </w:rPr>
        <w:t>m</w:t>
      </w:r>
      <w:r>
        <w:rPr>
          <w:rFonts w:ascii="Garamond" w:hAnsi="Garamond" w:cs="Times New Roman"/>
          <w:color w:val="auto"/>
          <w:lang w:eastAsia="en-US"/>
        </w:rPr>
        <w:t>fattet af deres egne regler.</w:t>
      </w:r>
      <w:r w:rsidR="0066520E">
        <w:rPr>
          <w:rFonts w:ascii="Garamond" w:hAnsi="Garamond" w:cs="Times New Roman"/>
          <w:color w:val="auto"/>
          <w:lang w:eastAsia="en-US"/>
        </w:rPr>
        <w:t xml:space="preserve"> Det gælder fx for Københavns Kommune.</w:t>
      </w:r>
    </w:p>
    <w:p w:rsidR="00360171" w:rsidRPr="00360171" w:rsidRDefault="00360171" w:rsidP="00360171">
      <w:pPr>
        <w:pStyle w:val="paragraf"/>
        <w:ind w:firstLine="0"/>
        <w:rPr>
          <w:rFonts w:ascii="Garamond" w:hAnsi="Garamond"/>
        </w:rPr>
      </w:pPr>
      <w:r>
        <w:rPr>
          <w:rFonts w:ascii="Garamond" w:hAnsi="Garamond" w:cs="Times New Roman"/>
          <w:color w:val="auto"/>
          <w:lang w:eastAsia="en-US"/>
        </w:rPr>
        <w:lastRenderedPageBreak/>
        <w:t xml:space="preserve">Den </w:t>
      </w:r>
      <w:r w:rsidRPr="00360171">
        <w:rPr>
          <w:rFonts w:ascii="Garamond" w:hAnsi="Garamond" w:cs="Times New Roman"/>
          <w:color w:val="auto"/>
          <w:lang w:eastAsia="en-US"/>
        </w:rPr>
        <w:t>enkelte institution</w:t>
      </w:r>
      <w:r w:rsidR="00B87DF0">
        <w:rPr>
          <w:rFonts w:ascii="Garamond" w:hAnsi="Garamond" w:cs="Times New Roman"/>
          <w:color w:val="auto"/>
          <w:lang w:eastAsia="en-US"/>
        </w:rPr>
        <w:t>, omfattet af punkterne 1 – 3)</w:t>
      </w:r>
      <w:r w:rsidR="00DF7855">
        <w:rPr>
          <w:rFonts w:ascii="Garamond" w:hAnsi="Garamond" w:cs="Times New Roman"/>
          <w:color w:val="auto"/>
          <w:lang w:eastAsia="en-US"/>
        </w:rPr>
        <w:t>,</w:t>
      </w:r>
      <w:r w:rsidRPr="00360171">
        <w:rPr>
          <w:rFonts w:ascii="Garamond" w:hAnsi="Garamond" w:cs="Times New Roman"/>
          <w:color w:val="auto"/>
          <w:lang w:eastAsia="en-US"/>
        </w:rPr>
        <w:t xml:space="preserve"> kan</w:t>
      </w:r>
      <w:r w:rsidR="00B87DF0">
        <w:rPr>
          <w:rFonts w:ascii="Garamond" w:hAnsi="Garamond" w:cs="Times New Roman"/>
          <w:color w:val="auto"/>
          <w:lang w:eastAsia="en-US"/>
        </w:rPr>
        <w:t xml:space="preserve"> efter de statslige regler</w:t>
      </w:r>
      <w:r w:rsidRPr="00360171">
        <w:rPr>
          <w:rFonts w:ascii="Garamond" w:hAnsi="Garamond" w:cs="Times New Roman"/>
          <w:color w:val="auto"/>
          <w:lang w:eastAsia="en-US"/>
        </w:rPr>
        <w:t xml:space="preserve"> få kort udstedt til de medarbejdere, som efter en konkret vurdering har behov herfor som led i medarbejder</w:t>
      </w:r>
      <w:r w:rsidR="009F4A9D">
        <w:rPr>
          <w:rFonts w:ascii="Garamond" w:hAnsi="Garamond" w:cs="Times New Roman"/>
          <w:color w:val="auto"/>
          <w:lang w:eastAsia="en-US"/>
        </w:rPr>
        <w:t>ens</w:t>
      </w:r>
      <w:r w:rsidRPr="00360171">
        <w:rPr>
          <w:rFonts w:ascii="Garamond" w:hAnsi="Garamond" w:cs="Times New Roman"/>
          <w:color w:val="auto"/>
          <w:lang w:eastAsia="en-US"/>
        </w:rPr>
        <w:t xml:space="preserve"> arbejdsmæssige opgaver. Det er instit</w:t>
      </w:r>
      <w:r w:rsidRPr="00360171">
        <w:rPr>
          <w:rFonts w:ascii="Garamond" w:hAnsi="Garamond" w:cs="Times New Roman"/>
          <w:color w:val="auto"/>
          <w:lang w:eastAsia="en-US"/>
        </w:rPr>
        <w:t>u</w:t>
      </w:r>
      <w:r w:rsidRPr="00360171">
        <w:rPr>
          <w:rFonts w:ascii="Garamond" w:hAnsi="Garamond" w:cs="Times New Roman"/>
          <w:color w:val="auto"/>
          <w:lang w:eastAsia="en-US"/>
        </w:rPr>
        <w:t xml:space="preserve">tionen selv, som afgør, hvilke medarbejdere der skal have et betalingskort, og hvilken korttype det skal være. </w:t>
      </w:r>
      <w:r w:rsidRPr="00360171">
        <w:rPr>
          <w:rFonts w:ascii="Garamond" w:hAnsi="Garamond" w:cs="Times New Roman"/>
          <w:color w:val="auto"/>
          <w:lang w:eastAsia="en-US"/>
        </w:rPr>
        <w:br/>
      </w:r>
      <w:r w:rsidRPr="00360171">
        <w:t> </w:t>
      </w:r>
      <w:r w:rsidRPr="00360171">
        <w:br/>
      </w:r>
      <w:r w:rsidRPr="00360171">
        <w:rPr>
          <w:rFonts w:ascii="Garamond" w:hAnsi="Garamond"/>
        </w:rPr>
        <w:t>Betalingskort kan anvendes i forbindelse med:</w:t>
      </w:r>
    </w:p>
    <w:p w:rsidR="00360171" w:rsidRDefault="00360171" w:rsidP="00360171">
      <w:pPr>
        <w:pStyle w:val="paragraf"/>
        <w:numPr>
          <w:ilvl w:val="0"/>
          <w:numId w:val="31"/>
        </w:numPr>
        <w:rPr>
          <w:rFonts w:ascii="Garamond" w:hAnsi="Garamond"/>
        </w:rPr>
      </w:pPr>
      <w:r w:rsidRPr="00360171">
        <w:rPr>
          <w:rFonts w:ascii="Garamond" w:hAnsi="Garamond"/>
        </w:rPr>
        <w:t>”Daglige” mindre indkøb</w:t>
      </w:r>
    </w:p>
    <w:p w:rsidR="00360171" w:rsidRPr="00360171" w:rsidRDefault="00360171" w:rsidP="00360171">
      <w:pPr>
        <w:pStyle w:val="paragraf"/>
        <w:numPr>
          <w:ilvl w:val="0"/>
          <w:numId w:val="31"/>
        </w:numPr>
        <w:rPr>
          <w:rFonts w:ascii="Garamond" w:hAnsi="Garamond"/>
        </w:rPr>
      </w:pPr>
      <w:r w:rsidRPr="00360171">
        <w:rPr>
          <w:rFonts w:ascii="Garamond" w:hAnsi="Garamond"/>
        </w:rPr>
        <w:t>Køb på internettet,</w:t>
      </w:r>
    </w:p>
    <w:p w:rsidR="00360171" w:rsidRPr="00360171" w:rsidRDefault="00360171" w:rsidP="00360171">
      <w:pPr>
        <w:pStyle w:val="paragraf"/>
        <w:numPr>
          <w:ilvl w:val="0"/>
          <w:numId w:val="31"/>
        </w:numPr>
        <w:rPr>
          <w:rFonts w:ascii="Garamond" w:hAnsi="Garamond"/>
        </w:rPr>
      </w:pPr>
      <w:r w:rsidRPr="00360171">
        <w:rPr>
          <w:rFonts w:ascii="Garamond" w:hAnsi="Garamond"/>
        </w:rPr>
        <w:t>Øvrige særskilt begrundede mindre indkøb,</w:t>
      </w:r>
    </w:p>
    <w:p w:rsidR="00360171" w:rsidRPr="00360171" w:rsidRDefault="00360171" w:rsidP="00360171">
      <w:pPr>
        <w:pStyle w:val="paragraf"/>
        <w:numPr>
          <w:ilvl w:val="0"/>
          <w:numId w:val="31"/>
        </w:numPr>
        <w:rPr>
          <w:rFonts w:ascii="Garamond" w:hAnsi="Garamond"/>
        </w:rPr>
      </w:pPr>
      <w:r w:rsidRPr="00360171">
        <w:rPr>
          <w:rFonts w:ascii="Garamond" w:hAnsi="Garamond"/>
        </w:rPr>
        <w:t>Udgifter under tjenesterejser, der kan godtgøres i henhold til cirkulæret om tjenesterejseaftalen, herunder i begrænset omfang hævning af val</w:t>
      </w:r>
      <w:r w:rsidRPr="00360171">
        <w:rPr>
          <w:rFonts w:ascii="Garamond" w:hAnsi="Garamond"/>
        </w:rPr>
        <w:t>u</w:t>
      </w:r>
      <w:r w:rsidRPr="00360171">
        <w:rPr>
          <w:rFonts w:ascii="Garamond" w:hAnsi="Garamond"/>
        </w:rPr>
        <w:t>ta/kontanter og køb,</w:t>
      </w:r>
    </w:p>
    <w:p w:rsidR="00360171" w:rsidRPr="00360171" w:rsidRDefault="00360171" w:rsidP="00360171">
      <w:pPr>
        <w:pStyle w:val="paragraf"/>
        <w:numPr>
          <w:ilvl w:val="0"/>
          <w:numId w:val="31"/>
        </w:numPr>
        <w:rPr>
          <w:rFonts w:ascii="Garamond" w:hAnsi="Garamond"/>
        </w:rPr>
      </w:pPr>
      <w:r w:rsidRPr="00360171">
        <w:rPr>
          <w:rFonts w:ascii="Garamond" w:hAnsi="Garamond"/>
        </w:rPr>
        <w:t>I begrænset omfang private mindre udgifter under tjenestere</w:t>
      </w:r>
      <w:r w:rsidRPr="00360171">
        <w:rPr>
          <w:rFonts w:ascii="Garamond" w:hAnsi="Garamond"/>
        </w:rPr>
        <w:t>j</w:t>
      </w:r>
      <w:r w:rsidRPr="00360171">
        <w:rPr>
          <w:rFonts w:ascii="Garamond" w:hAnsi="Garamond"/>
        </w:rPr>
        <w:t>ser, som har sammenhæng med tjenesterejsen eller ophold herunder, og som meda</w:t>
      </w:r>
      <w:r w:rsidRPr="00360171">
        <w:rPr>
          <w:rFonts w:ascii="Garamond" w:hAnsi="Garamond"/>
        </w:rPr>
        <w:t>r</w:t>
      </w:r>
      <w:r w:rsidRPr="00360171">
        <w:rPr>
          <w:rFonts w:ascii="Garamond" w:hAnsi="Garamond"/>
        </w:rPr>
        <w:t>bejderen selv skal betale i forbindelse med rejseafregningen,</w:t>
      </w:r>
    </w:p>
    <w:p w:rsidR="00360171" w:rsidRPr="00360171" w:rsidRDefault="00360171" w:rsidP="00360171">
      <w:pPr>
        <w:pStyle w:val="paragraf"/>
        <w:numPr>
          <w:ilvl w:val="0"/>
          <w:numId w:val="31"/>
        </w:numPr>
        <w:rPr>
          <w:rFonts w:ascii="Garamond" w:hAnsi="Garamond"/>
        </w:rPr>
      </w:pPr>
      <w:r w:rsidRPr="00360171">
        <w:rPr>
          <w:rFonts w:ascii="Garamond" w:hAnsi="Garamond"/>
        </w:rPr>
        <w:t>Tjenestemæssig taxikørsel,</w:t>
      </w:r>
    </w:p>
    <w:p w:rsidR="00360171" w:rsidRDefault="00360171" w:rsidP="00360171">
      <w:pPr>
        <w:pStyle w:val="paragraf"/>
        <w:numPr>
          <w:ilvl w:val="0"/>
          <w:numId w:val="31"/>
        </w:numPr>
        <w:rPr>
          <w:rFonts w:ascii="Garamond" w:hAnsi="Garamond"/>
        </w:rPr>
      </w:pPr>
      <w:r w:rsidRPr="00360171">
        <w:rPr>
          <w:rFonts w:ascii="Garamond" w:hAnsi="Garamond"/>
        </w:rPr>
        <w:t>Benzin o.l. i forbindelse med tjenestekørsel.</w:t>
      </w:r>
    </w:p>
    <w:p w:rsidR="009F4A9D" w:rsidRDefault="009F4A9D" w:rsidP="005B02A2">
      <w:pPr>
        <w:pStyle w:val="paragraf"/>
        <w:ind w:firstLine="0"/>
        <w:rPr>
          <w:rFonts w:ascii="Garamond" w:hAnsi="Garamond"/>
        </w:rPr>
      </w:pPr>
    </w:p>
    <w:p w:rsidR="009F4A9D" w:rsidRDefault="009F4A9D" w:rsidP="005B02A2">
      <w:pPr>
        <w:pStyle w:val="paragraf"/>
        <w:ind w:firstLine="0"/>
        <w:rPr>
          <w:rFonts w:ascii="Garamond" w:hAnsi="Garamond"/>
        </w:rPr>
      </w:pPr>
      <w:r w:rsidRPr="009F4A9D">
        <w:rPr>
          <w:rFonts w:ascii="Garamond" w:hAnsi="Garamond"/>
        </w:rPr>
        <w:t>Institutionerne skal efter cirkulæret i udgangspunktet aftage kreditkort under M</w:t>
      </w:r>
      <w:r w:rsidRPr="009F4A9D">
        <w:rPr>
          <w:rFonts w:ascii="Garamond" w:hAnsi="Garamond"/>
        </w:rPr>
        <w:t>o</w:t>
      </w:r>
      <w:r w:rsidRPr="009F4A9D">
        <w:rPr>
          <w:rFonts w:ascii="Garamond" w:hAnsi="Garamond"/>
        </w:rPr>
        <w:t xml:space="preserve">derniseringsstyrelsens aftale. Moderniseringsstyrelsen kan dog </w:t>
      </w:r>
      <w:r>
        <w:rPr>
          <w:rFonts w:ascii="Garamond" w:hAnsi="Garamond"/>
        </w:rPr>
        <w:t xml:space="preserve">efter ansøgning </w:t>
      </w:r>
      <w:r w:rsidRPr="009F4A9D">
        <w:rPr>
          <w:rFonts w:ascii="Garamond" w:hAnsi="Garamond"/>
        </w:rPr>
        <w:t>d</w:t>
      </w:r>
      <w:r w:rsidRPr="009F4A9D">
        <w:rPr>
          <w:rFonts w:ascii="Garamond" w:hAnsi="Garamond"/>
        </w:rPr>
        <w:t>i</w:t>
      </w:r>
      <w:r w:rsidRPr="009F4A9D">
        <w:rPr>
          <w:rFonts w:ascii="Garamond" w:hAnsi="Garamond"/>
        </w:rPr>
        <w:t>spensere fra cirkulæret og således helt eller delvist fritage en institution fra at aft</w:t>
      </w:r>
      <w:r w:rsidRPr="009F4A9D">
        <w:rPr>
          <w:rFonts w:ascii="Garamond" w:hAnsi="Garamond"/>
        </w:rPr>
        <w:t>a</w:t>
      </w:r>
      <w:r w:rsidRPr="009F4A9D">
        <w:rPr>
          <w:rFonts w:ascii="Garamond" w:hAnsi="Garamond"/>
        </w:rPr>
        <w:t>ge kreditkort</w:t>
      </w:r>
      <w:r w:rsidR="00E41156">
        <w:rPr>
          <w:rFonts w:ascii="Garamond" w:hAnsi="Garamond"/>
        </w:rPr>
        <w:t xml:space="preserve"> under aftalen</w:t>
      </w:r>
      <w:r w:rsidRPr="009F4A9D">
        <w:rPr>
          <w:rFonts w:ascii="Garamond" w:hAnsi="Garamond"/>
        </w:rPr>
        <w:t xml:space="preserve">. </w:t>
      </w:r>
      <w:r>
        <w:rPr>
          <w:rFonts w:ascii="Garamond" w:hAnsi="Garamond"/>
        </w:rPr>
        <w:t>Søges d</w:t>
      </w:r>
      <w:r w:rsidRPr="009F4A9D">
        <w:rPr>
          <w:rFonts w:ascii="Garamond" w:hAnsi="Garamond"/>
        </w:rPr>
        <w:t xml:space="preserve">ispensation for hele institutionen, </w:t>
      </w:r>
      <w:r>
        <w:rPr>
          <w:rFonts w:ascii="Garamond" w:hAnsi="Garamond"/>
        </w:rPr>
        <w:t>vil Modern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seringsstyrelsen lægge vægt på, om institutionen </w:t>
      </w:r>
      <w:r w:rsidRPr="009F4A9D">
        <w:rPr>
          <w:rFonts w:ascii="Garamond" w:hAnsi="Garamond"/>
        </w:rPr>
        <w:t>generelt efterspørger kreditkor</w:t>
      </w:r>
      <w:r w:rsidRPr="009F4A9D">
        <w:rPr>
          <w:rFonts w:ascii="Garamond" w:hAnsi="Garamond"/>
        </w:rPr>
        <w:t>t</w:t>
      </w:r>
      <w:r w:rsidRPr="009F4A9D">
        <w:rPr>
          <w:rFonts w:ascii="Garamond" w:hAnsi="Garamond"/>
        </w:rPr>
        <w:t xml:space="preserve">ydelser, som </w:t>
      </w:r>
      <w:r>
        <w:rPr>
          <w:rFonts w:ascii="Garamond" w:hAnsi="Garamond"/>
        </w:rPr>
        <w:t>leverandøren</w:t>
      </w:r>
      <w:r w:rsidR="00E41156">
        <w:rPr>
          <w:rFonts w:ascii="Garamond" w:hAnsi="Garamond"/>
        </w:rPr>
        <w:t xml:space="preserve"> under aftalen</w:t>
      </w:r>
      <w:r w:rsidRPr="009F4A9D">
        <w:rPr>
          <w:rFonts w:ascii="Garamond" w:hAnsi="Garamond"/>
        </w:rPr>
        <w:t xml:space="preserve"> enten ikke kan levere eller ikke kan levere uden væsentlig (mer)omkostning for institutionen. Dispensation </w:t>
      </w:r>
      <w:r w:rsidR="00E41156">
        <w:rPr>
          <w:rFonts w:ascii="Garamond" w:hAnsi="Garamond"/>
        </w:rPr>
        <w:t xml:space="preserve">vil blive </w:t>
      </w:r>
      <w:r w:rsidRPr="009F4A9D">
        <w:rPr>
          <w:rFonts w:ascii="Garamond" w:hAnsi="Garamond"/>
        </w:rPr>
        <w:t>admin</w:t>
      </w:r>
      <w:r w:rsidRPr="009F4A9D">
        <w:rPr>
          <w:rFonts w:ascii="Garamond" w:hAnsi="Garamond"/>
        </w:rPr>
        <w:t>i</w:t>
      </w:r>
      <w:r w:rsidRPr="009F4A9D">
        <w:rPr>
          <w:rFonts w:ascii="Garamond" w:hAnsi="Garamond"/>
        </w:rPr>
        <w:t>strere</w:t>
      </w:r>
      <w:r w:rsidR="00E41156">
        <w:rPr>
          <w:rFonts w:ascii="Garamond" w:hAnsi="Garamond"/>
        </w:rPr>
        <w:t>t</w:t>
      </w:r>
      <w:r w:rsidRPr="009F4A9D">
        <w:rPr>
          <w:rFonts w:ascii="Garamond" w:hAnsi="Garamond"/>
        </w:rPr>
        <w:t xml:space="preserve"> restri</w:t>
      </w:r>
      <w:r w:rsidRPr="009F4A9D">
        <w:rPr>
          <w:rFonts w:ascii="Garamond" w:hAnsi="Garamond"/>
        </w:rPr>
        <w:t>k</w:t>
      </w:r>
      <w:r w:rsidRPr="009F4A9D">
        <w:rPr>
          <w:rFonts w:ascii="Garamond" w:hAnsi="Garamond"/>
        </w:rPr>
        <w:t>tivt.</w:t>
      </w:r>
    </w:p>
    <w:p w:rsidR="009F4A9D" w:rsidRDefault="00003E25" w:rsidP="005B02A2">
      <w:pPr>
        <w:pStyle w:val="paragraf"/>
        <w:ind w:firstLine="0"/>
        <w:rPr>
          <w:rFonts w:ascii="Garamond" w:hAnsi="Garamond"/>
        </w:rPr>
      </w:pPr>
      <w:r w:rsidRPr="009F4A9D">
        <w:rPr>
          <w:rFonts w:ascii="Garamond" w:hAnsi="Garamond"/>
        </w:rPr>
        <w:t xml:space="preserve">Herudover gælder det generelt, at institutionerne som supplement til </w:t>
      </w:r>
      <w:r w:rsidR="009F4A9D">
        <w:rPr>
          <w:rFonts w:ascii="Garamond" w:hAnsi="Garamond"/>
        </w:rPr>
        <w:t>kredit</w:t>
      </w:r>
      <w:r w:rsidRPr="009F4A9D">
        <w:rPr>
          <w:rFonts w:ascii="Garamond" w:hAnsi="Garamond"/>
        </w:rPr>
        <w:t>kort, aft</w:t>
      </w:r>
      <w:r w:rsidRPr="009F4A9D">
        <w:rPr>
          <w:rFonts w:ascii="Garamond" w:hAnsi="Garamond"/>
        </w:rPr>
        <w:t>a</w:t>
      </w:r>
      <w:r w:rsidRPr="009F4A9D">
        <w:rPr>
          <w:rFonts w:ascii="Garamond" w:hAnsi="Garamond"/>
        </w:rPr>
        <w:t>get under Moderniseringsstyrelsens aftale, kan anvende andre typer kort</w:t>
      </w:r>
      <w:r w:rsidR="009F4A9D" w:rsidRPr="009F4A9D">
        <w:rPr>
          <w:rFonts w:ascii="Garamond" w:hAnsi="Garamond"/>
        </w:rPr>
        <w:t>, fx til brug under tjenesterejser, hvor et ekstra kort kan være hensigtsmæssigt.</w:t>
      </w:r>
    </w:p>
    <w:p w:rsidR="009F4A9D" w:rsidRPr="009F4A9D" w:rsidRDefault="009F4A9D" w:rsidP="005B02A2">
      <w:pPr>
        <w:pStyle w:val="paragraf"/>
        <w:ind w:firstLine="0"/>
        <w:rPr>
          <w:rFonts w:ascii="Garamond" w:hAnsi="Garamond"/>
        </w:rPr>
      </w:pPr>
    </w:p>
    <w:p w:rsidR="006131F0" w:rsidRPr="00360171" w:rsidRDefault="006131F0" w:rsidP="006131F0">
      <w:pPr>
        <w:pStyle w:val="paragraf"/>
        <w:rPr>
          <w:rFonts w:ascii="Garamond" w:hAnsi="Garamond"/>
        </w:rPr>
      </w:pPr>
    </w:p>
    <w:p w:rsidR="000A5F00" w:rsidRPr="00C6334B" w:rsidRDefault="000A5F00" w:rsidP="00C6334B">
      <w:pPr>
        <w:pStyle w:val="paragraf"/>
        <w:ind w:firstLine="0"/>
        <w:rPr>
          <w:rFonts w:ascii="Garamond" w:hAnsi="Garamond" w:cs="Times New Roman"/>
          <w:color w:val="auto"/>
          <w:lang w:eastAsia="en-US"/>
        </w:rPr>
      </w:pPr>
    </w:p>
    <w:p w:rsidR="00C6334B" w:rsidRDefault="00C6334B" w:rsidP="00C6334B"/>
    <w:sectPr w:rsidR="00C6334B" w:rsidSect="00F64985">
      <w:headerReference w:type="default" r:id="rId15"/>
      <w:type w:val="continuous"/>
      <w:pgSz w:w="11907" w:h="16840" w:code="9"/>
      <w:pgMar w:top="2381" w:right="2835" w:bottom="1361" w:left="1418" w:header="23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56" w:rsidRDefault="00100B56">
      <w:r>
        <w:separator/>
      </w:r>
    </w:p>
  </w:endnote>
  <w:endnote w:type="continuationSeparator" w:id="0">
    <w:p w:rsidR="00100B56" w:rsidRDefault="001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C1" w:rsidRDefault="00BC49C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C1" w:rsidRDefault="004A299E" w:rsidP="004A299E">
    <w:pPr>
      <w:jc w:val="center"/>
      <w:rPr>
        <w:sz w:val="20"/>
        <w:szCs w:val="20"/>
      </w:rPr>
    </w:pPr>
    <w:r w:rsidRPr="004A299E">
      <w:rPr>
        <w:sz w:val="20"/>
        <w:szCs w:val="20"/>
      </w:rPr>
      <w:t xml:space="preserve">Bilag 1: </w:t>
    </w:r>
    <w:r w:rsidR="00BC49C1">
      <w:rPr>
        <w:sz w:val="20"/>
        <w:szCs w:val="20"/>
      </w:rPr>
      <w:t>Baggrund og grundlag for kreditkort</w:t>
    </w:r>
  </w:p>
  <w:p w:rsidR="004A299E" w:rsidRPr="004A299E" w:rsidRDefault="004A299E" w:rsidP="004A299E">
    <w:pPr>
      <w:jc w:val="center"/>
      <w:rPr>
        <w:sz w:val="20"/>
        <w:szCs w:val="20"/>
      </w:rPr>
    </w:pPr>
    <w:r w:rsidRPr="004A299E">
      <w:rPr>
        <w:sz w:val="20"/>
        <w:szCs w:val="20"/>
      </w:rPr>
      <w:t>.</w:t>
    </w:r>
  </w:p>
  <w:p w:rsidR="004A299E" w:rsidRDefault="004A299E" w:rsidP="004A299E">
    <w:pPr>
      <w:pStyle w:val="Sidefod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C1" w:rsidRDefault="00BC49C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56" w:rsidRDefault="00100B56">
      <w:r>
        <w:separator/>
      </w:r>
    </w:p>
  </w:footnote>
  <w:footnote w:type="continuationSeparator" w:id="0">
    <w:p w:rsidR="00100B56" w:rsidRDefault="00100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C1" w:rsidRDefault="00BC49C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C1" w:rsidRDefault="00BC49C1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C1" w:rsidRDefault="00BC49C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99E" w:rsidRPr="00036755" w:rsidRDefault="004A299E" w:rsidP="00036755">
    <w:pPr>
      <w:pStyle w:val="Sidehoved"/>
      <w:tabs>
        <w:tab w:val="clear" w:pos="4819"/>
        <w:tab w:val="clear" w:pos="9638"/>
        <w:tab w:val="left" w:pos="7881"/>
      </w:tabs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8D7274">
      <w:rPr>
        <w:rStyle w:val="Sidetal"/>
        <w:noProof/>
      </w:rPr>
      <w:t>4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8D7274">
      <w:rPr>
        <w:rStyle w:val="Sidetal"/>
        <w:noProof/>
      </w:rPr>
      <w:t>4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366FA8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A2C2F"/>
    <w:multiLevelType w:val="hybridMultilevel"/>
    <w:tmpl w:val="CA687070"/>
    <w:lvl w:ilvl="0" w:tplc="7566257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FAB1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8A24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6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96596"/>
    <w:multiLevelType w:val="hybridMultilevel"/>
    <w:tmpl w:val="03C4CDA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114F"/>
    <w:multiLevelType w:val="hybridMultilevel"/>
    <w:tmpl w:val="80AE06B6"/>
    <w:lvl w:ilvl="0" w:tplc="04060011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6B41BF2"/>
    <w:multiLevelType w:val="hybridMultilevel"/>
    <w:tmpl w:val="85F6B69A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354B5"/>
    <w:multiLevelType w:val="hybridMultilevel"/>
    <w:tmpl w:val="BE74D9F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8213F"/>
    <w:multiLevelType w:val="hybridMultilevel"/>
    <w:tmpl w:val="6DE2F6BA"/>
    <w:lvl w:ilvl="0" w:tplc="25F0B2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F1BF8"/>
    <w:multiLevelType w:val="hybridMultilevel"/>
    <w:tmpl w:val="7CA2C3D2"/>
    <w:lvl w:ilvl="0" w:tplc="CD3E6C7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C3BB3"/>
    <w:multiLevelType w:val="multilevel"/>
    <w:tmpl w:val="9C9A3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AF2846"/>
    <w:multiLevelType w:val="hybridMultilevel"/>
    <w:tmpl w:val="B604316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EB2B54"/>
    <w:multiLevelType w:val="multilevel"/>
    <w:tmpl w:val="69660BE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0D3050"/>
    <w:multiLevelType w:val="hybridMultilevel"/>
    <w:tmpl w:val="69660BE8"/>
    <w:lvl w:ilvl="0" w:tplc="040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2D7858"/>
    <w:multiLevelType w:val="hybridMultilevel"/>
    <w:tmpl w:val="3DDA5D10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2070E"/>
    <w:multiLevelType w:val="hybridMultilevel"/>
    <w:tmpl w:val="BB042F70"/>
    <w:lvl w:ilvl="0" w:tplc="25F0B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892EFD"/>
    <w:multiLevelType w:val="hybridMultilevel"/>
    <w:tmpl w:val="998894FE"/>
    <w:lvl w:ilvl="0" w:tplc="040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5A7EF0"/>
    <w:multiLevelType w:val="hybridMultilevel"/>
    <w:tmpl w:val="3DDA5D10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07FB3"/>
    <w:multiLevelType w:val="hybridMultilevel"/>
    <w:tmpl w:val="AEC444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B90A9A"/>
    <w:multiLevelType w:val="hybridMultilevel"/>
    <w:tmpl w:val="5A3AFB50"/>
    <w:lvl w:ilvl="0" w:tplc="25F0B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4B3E1B"/>
    <w:multiLevelType w:val="hybridMultilevel"/>
    <w:tmpl w:val="2D8A70F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7103CB"/>
    <w:multiLevelType w:val="hybridMultilevel"/>
    <w:tmpl w:val="E0A005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DB6BA4"/>
    <w:multiLevelType w:val="hybridMultilevel"/>
    <w:tmpl w:val="696E13A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00514"/>
    <w:multiLevelType w:val="hybridMultilevel"/>
    <w:tmpl w:val="0C1E5FFE"/>
    <w:lvl w:ilvl="0" w:tplc="040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9F3A02"/>
    <w:multiLevelType w:val="multilevel"/>
    <w:tmpl w:val="4E1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90115A"/>
    <w:multiLevelType w:val="hybridMultilevel"/>
    <w:tmpl w:val="857A0DF2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846E6D"/>
    <w:multiLevelType w:val="hybridMultilevel"/>
    <w:tmpl w:val="84BEF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F175C"/>
    <w:multiLevelType w:val="hybridMultilevel"/>
    <w:tmpl w:val="BD1C8ED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06191"/>
    <w:multiLevelType w:val="hybridMultilevel"/>
    <w:tmpl w:val="AB50C71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D0FB0"/>
    <w:multiLevelType w:val="hybridMultilevel"/>
    <w:tmpl w:val="117E5642"/>
    <w:lvl w:ilvl="0" w:tplc="040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5482492"/>
    <w:multiLevelType w:val="hybridMultilevel"/>
    <w:tmpl w:val="3C26F00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22185"/>
    <w:multiLevelType w:val="hybridMultilevel"/>
    <w:tmpl w:val="406E1FF6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AA352B"/>
    <w:multiLevelType w:val="hybridMultilevel"/>
    <w:tmpl w:val="D0700B20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9B583F"/>
    <w:multiLevelType w:val="hybridMultilevel"/>
    <w:tmpl w:val="5614D744"/>
    <w:lvl w:ilvl="0" w:tplc="0406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283E23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0406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6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6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A21BF6"/>
    <w:multiLevelType w:val="hybridMultilevel"/>
    <w:tmpl w:val="3D1E3422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C552E3"/>
    <w:multiLevelType w:val="hybridMultilevel"/>
    <w:tmpl w:val="8638A07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"/>
  </w:num>
  <w:num w:numId="5">
    <w:abstractNumId w:val="31"/>
  </w:num>
  <w:num w:numId="6">
    <w:abstractNumId w:val="21"/>
  </w:num>
  <w:num w:numId="7">
    <w:abstractNumId w:val="30"/>
  </w:num>
  <w:num w:numId="8">
    <w:abstractNumId w:val="2"/>
  </w:num>
  <w:num w:numId="9">
    <w:abstractNumId w:val="23"/>
  </w:num>
  <w:num w:numId="10">
    <w:abstractNumId w:val="3"/>
  </w:num>
  <w:num w:numId="11">
    <w:abstractNumId w:val="4"/>
  </w:num>
  <w:num w:numId="12">
    <w:abstractNumId w:val="32"/>
  </w:num>
  <w:num w:numId="13">
    <w:abstractNumId w:val="29"/>
  </w:num>
  <w:num w:numId="14">
    <w:abstractNumId w:val="33"/>
  </w:num>
  <w:num w:numId="15">
    <w:abstractNumId w:val="11"/>
  </w:num>
  <w:num w:numId="16">
    <w:abstractNumId w:val="14"/>
  </w:num>
  <w:num w:numId="17">
    <w:abstractNumId w:val="10"/>
  </w:num>
  <w:num w:numId="18">
    <w:abstractNumId w:val="27"/>
  </w:num>
  <w:num w:numId="19">
    <w:abstractNumId w:val="16"/>
  </w:num>
  <w:num w:numId="20">
    <w:abstractNumId w:val="5"/>
  </w:num>
  <w:num w:numId="21">
    <w:abstractNumId w:val="15"/>
  </w:num>
  <w:num w:numId="22">
    <w:abstractNumId w:val="25"/>
  </w:num>
  <w:num w:numId="23">
    <w:abstractNumId w:val="28"/>
  </w:num>
  <w:num w:numId="24">
    <w:abstractNumId w:val="13"/>
  </w:num>
  <w:num w:numId="25">
    <w:abstractNumId w:val="26"/>
  </w:num>
  <w:num w:numId="26">
    <w:abstractNumId w:val="6"/>
  </w:num>
  <w:num w:numId="27">
    <w:abstractNumId w:val="7"/>
  </w:num>
  <w:num w:numId="28">
    <w:abstractNumId w:val="24"/>
  </w:num>
  <w:num w:numId="29">
    <w:abstractNumId w:val="19"/>
  </w:num>
  <w:num w:numId="30">
    <w:abstractNumId w:val="0"/>
  </w:num>
  <w:num w:numId="31">
    <w:abstractNumId w:val="22"/>
  </w:num>
  <w:num w:numId="32">
    <w:abstractNumId w:val="18"/>
  </w:num>
  <w:num w:numId="33">
    <w:abstractNumId w:val="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85"/>
    <w:rsid w:val="0000166E"/>
    <w:rsid w:val="00003923"/>
    <w:rsid w:val="00003E25"/>
    <w:rsid w:val="0001296B"/>
    <w:rsid w:val="00015183"/>
    <w:rsid w:val="000263DA"/>
    <w:rsid w:val="00036755"/>
    <w:rsid w:val="00042268"/>
    <w:rsid w:val="00050021"/>
    <w:rsid w:val="00056F05"/>
    <w:rsid w:val="00067E00"/>
    <w:rsid w:val="00071CB2"/>
    <w:rsid w:val="00072BB8"/>
    <w:rsid w:val="00083A6D"/>
    <w:rsid w:val="00087EA7"/>
    <w:rsid w:val="000906B5"/>
    <w:rsid w:val="000A141C"/>
    <w:rsid w:val="000A2C64"/>
    <w:rsid w:val="000A5F00"/>
    <w:rsid w:val="000B5899"/>
    <w:rsid w:val="000C2AFF"/>
    <w:rsid w:val="000C5FBF"/>
    <w:rsid w:val="000C73B4"/>
    <w:rsid w:val="000D0680"/>
    <w:rsid w:val="000D1C52"/>
    <w:rsid w:val="000D5E34"/>
    <w:rsid w:val="000E3D49"/>
    <w:rsid w:val="000E48D9"/>
    <w:rsid w:val="000E5518"/>
    <w:rsid w:val="000F3359"/>
    <w:rsid w:val="000F4045"/>
    <w:rsid w:val="00100B56"/>
    <w:rsid w:val="00100F0E"/>
    <w:rsid w:val="00103FAD"/>
    <w:rsid w:val="0011194C"/>
    <w:rsid w:val="00111DF8"/>
    <w:rsid w:val="001124A5"/>
    <w:rsid w:val="001128CF"/>
    <w:rsid w:val="00112C20"/>
    <w:rsid w:val="00116707"/>
    <w:rsid w:val="00116C36"/>
    <w:rsid w:val="001221C9"/>
    <w:rsid w:val="00122CC1"/>
    <w:rsid w:val="001278E2"/>
    <w:rsid w:val="00142515"/>
    <w:rsid w:val="00144150"/>
    <w:rsid w:val="00146180"/>
    <w:rsid w:val="00146DE0"/>
    <w:rsid w:val="001517EE"/>
    <w:rsid w:val="00153F2E"/>
    <w:rsid w:val="0015490E"/>
    <w:rsid w:val="00155BA4"/>
    <w:rsid w:val="00162A13"/>
    <w:rsid w:val="0016462C"/>
    <w:rsid w:val="00166ECB"/>
    <w:rsid w:val="001701B5"/>
    <w:rsid w:val="00170F8E"/>
    <w:rsid w:val="0017108E"/>
    <w:rsid w:val="001756D0"/>
    <w:rsid w:val="00180202"/>
    <w:rsid w:val="00185155"/>
    <w:rsid w:val="00191BA3"/>
    <w:rsid w:val="00197EDD"/>
    <w:rsid w:val="001A03FB"/>
    <w:rsid w:val="001A1553"/>
    <w:rsid w:val="001A4E30"/>
    <w:rsid w:val="001A6523"/>
    <w:rsid w:val="001A727B"/>
    <w:rsid w:val="001B2203"/>
    <w:rsid w:val="001B2B7B"/>
    <w:rsid w:val="001D71B1"/>
    <w:rsid w:val="001E03CF"/>
    <w:rsid w:val="001E10C7"/>
    <w:rsid w:val="001E1450"/>
    <w:rsid w:val="001E3725"/>
    <w:rsid w:val="001E5BA9"/>
    <w:rsid w:val="001F2B60"/>
    <w:rsid w:val="001F2C84"/>
    <w:rsid w:val="001F2E13"/>
    <w:rsid w:val="001F679E"/>
    <w:rsid w:val="00203EEE"/>
    <w:rsid w:val="00205E0D"/>
    <w:rsid w:val="00214937"/>
    <w:rsid w:val="00217B7E"/>
    <w:rsid w:val="00221CA3"/>
    <w:rsid w:val="00226E27"/>
    <w:rsid w:val="002321B4"/>
    <w:rsid w:val="00232AC3"/>
    <w:rsid w:val="00242979"/>
    <w:rsid w:val="002453D4"/>
    <w:rsid w:val="00247E5A"/>
    <w:rsid w:val="002674EF"/>
    <w:rsid w:val="00270F74"/>
    <w:rsid w:val="0028073B"/>
    <w:rsid w:val="00294875"/>
    <w:rsid w:val="002A2470"/>
    <w:rsid w:val="002A510C"/>
    <w:rsid w:val="002A5BA0"/>
    <w:rsid w:val="002A786E"/>
    <w:rsid w:val="002B734F"/>
    <w:rsid w:val="002C6FF3"/>
    <w:rsid w:val="002D3946"/>
    <w:rsid w:val="002D7E1C"/>
    <w:rsid w:val="002E4DE5"/>
    <w:rsid w:val="003033FD"/>
    <w:rsid w:val="00314E5B"/>
    <w:rsid w:val="003163EC"/>
    <w:rsid w:val="00317C49"/>
    <w:rsid w:val="0032081F"/>
    <w:rsid w:val="0033142D"/>
    <w:rsid w:val="0034156B"/>
    <w:rsid w:val="00341E7C"/>
    <w:rsid w:val="00347C8C"/>
    <w:rsid w:val="003532F3"/>
    <w:rsid w:val="00360171"/>
    <w:rsid w:val="00366B37"/>
    <w:rsid w:val="0037071B"/>
    <w:rsid w:val="00394026"/>
    <w:rsid w:val="00394557"/>
    <w:rsid w:val="003A4016"/>
    <w:rsid w:val="003A459A"/>
    <w:rsid w:val="003B473C"/>
    <w:rsid w:val="003C1324"/>
    <w:rsid w:val="003C265A"/>
    <w:rsid w:val="003C5493"/>
    <w:rsid w:val="003C7A67"/>
    <w:rsid w:val="003C7D25"/>
    <w:rsid w:val="003E59BC"/>
    <w:rsid w:val="003E69E3"/>
    <w:rsid w:val="003F21E5"/>
    <w:rsid w:val="00401A96"/>
    <w:rsid w:val="00404B38"/>
    <w:rsid w:val="004149A6"/>
    <w:rsid w:val="00414F0A"/>
    <w:rsid w:val="0042146D"/>
    <w:rsid w:val="004317E3"/>
    <w:rsid w:val="00440A97"/>
    <w:rsid w:val="00440F55"/>
    <w:rsid w:val="00445D54"/>
    <w:rsid w:val="00452646"/>
    <w:rsid w:val="0045474E"/>
    <w:rsid w:val="0045773E"/>
    <w:rsid w:val="004632B7"/>
    <w:rsid w:val="00465BA8"/>
    <w:rsid w:val="00472B2B"/>
    <w:rsid w:val="00474208"/>
    <w:rsid w:val="0048630C"/>
    <w:rsid w:val="004900A1"/>
    <w:rsid w:val="00496F39"/>
    <w:rsid w:val="004A299E"/>
    <w:rsid w:val="004A528B"/>
    <w:rsid w:val="004B583F"/>
    <w:rsid w:val="004C0E13"/>
    <w:rsid w:val="004D10CA"/>
    <w:rsid w:val="004D5721"/>
    <w:rsid w:val="004D6BE0"/>
    <w:rsid w:val="004E4A34"/>
    <w:rsid w:val="004E4B88"/>
    <w:rsid w:val="00506469"/>
    <w:rsid w:val="00514B31"/>
    <w:rsid w:val="00516D38"/>
    <w:rsid w:val="00517A1D"/>
    <w:rsid w:val="00523EC4"/>
    <w:rsid w:val="00537AD3"/>
    <w:rsid w:val="00541FDD"/>
    <w:rsid w:val="0054216A"/>
    <w:rsid w:val="005514A0"/>
    <w:rsid w:val="00552DDD"/>
    <w:rsid w:val="00561D03"/>
    <w:rsid w:val="00563779"/>
    <w:rsid w:val="005660AE"/>
    <w:rsid w:val="0057172A"/>
    <w:rsid w:val="00572629"/>
    <w:rsid w:val="00572F0E"/>
    <w:rsid w:val="00576A5F"/>
    <w:rsid w:val="00577E63"/>
    <w:rsid w:val="005809D5"/>
    <w:rsid w:val="00581761"/>
    <w:rsid w:val="0058266B"/>
    <w:rsid w:val="00587481"/>
    <w:rsid w:val="00587C64"/>
    <w:rsid w:val="005908C8"/>
    <w:rsid w:val="00593ABE"/>
    <w:rsid w:val="005A15C2"/>
    <w:rsid w:val="005A65B1"/>
    <w:rsid w:val="005B02A2"/>
    <w:rsid w:val="005B1ADB"/>
    <w:rsid w:val="005C31C0"/>
    <w:rsid w:val="005C3DF5"/>
    <w:rsid w:val="005D0754"/>
    <w:rsid w:val="005D0F88"/>
    <w:rsid w:val="005D2B17"/>
    <w:rsid w:val="005D2F46"/>
    <w:rsid w:val="005D3A35"/>
    <w:rsid w:val="005D4F59"/>
    <w:rsid w:val="005E37CE"/>
    <w:rsid w:val="005E42FE"/>
    <w:rsid w:val="005E55FA"/>
    <w:rsid w:val="005E5B70"/>
    <w:rsid w:val="005F4961"/>
    <w:rsid w:val="005F4D37"/>
    <w:rsid w:val="005F7B3C"/>
    <w:rsid w:val="00605EC9"/>
    <w:rsid w:val="00606C7A"/>
    <w:rsid w:val="00606F13"/>
    <w:rsid w:val="006131F0"/>
    <w:rsid w:val="0061750B"/>
    <w:rsid w:val="00623E7C"/>
    <w:rsid w:val="00633567"/>
    <w:rsid w:val="00635ACA"/>
    <w:rsid w:val="00637049"/>
    <w:rsid w:val="0064059E"/>
    <w:rsid w:val="006418DA"/>
    <w:rsid w:val="00643A10"/>
    <w:rsid w:val="00645620"/>
    <w:rsid w:val="00660DCB"/>
    <w:rsid w:val="00661594"/>
    <w:rsid w:val="0066520E"/>
    <w:rsid w:val="006656F7"/>
    <w:rsid w:val="00665E01"/>
    <w:rsid w:val="00666267"/>
    <w:rsid w:val="00680DCB"/>
    <w:rsid w:val="00686A95"/>
    <w:rsid w:val="00690A98"/>
    <w:rsid w:val="00691B6F"/>
    <w:rsid w:val="006A1637"/>
    <w:rsid w:val="006A2AEA"/>
    <w:rsid w:val="006B2F32"/>
    <w:rsid w:val="006B4C8D"/>
    <w:rsid w:val="006B688F"/>
    <w:rsid w:val="006C3F2D"/>
    <w:rsid w:val="006C419D"/>
    <w:rsid w:val="006C4ADF"/>
    <w:rsid w:val="006C66AD"/>
    <w:rsid w:val="006D2648"/>
    <w:rsid w:val="006E1A7D"/>
    <w:rsid w:val="006F159C"/>
    <w:rsid w:val="006F42E4"/>
    <w:rsid w:val="00702D67"/>
    <w:rsid w:val="0072629B"/>
    <w:rsid w:val="00734B09"/>
    <w:rsid w:val="00737944"/>
    <w:rsid w:val="00747868"/>
    <w:rsid w:val="0075172C"/>
    <w:rsid w:val="00753647"/>
    <w:rsid w:val="00753F62"/>
    <w:rsid w:val="00771A11"/>
    <w:rsid w:val="00773329"/>
    <w:rsid w:val="0077377C"/>
    <w:rsid w:val="00775A72"/>
    <w:rsid w:val="00775AC7"/>
    <w:rsid w:val="007853B2"/>
    <w:rsid w:val="007A716F"/>
    <w:rsid w:val="007B1A01"/>
    <w:rsid w:val="007B3ABC"/>
    <w:rsid w:val="007B6AFA"/>
    <w:rsid w:val="007C520D"/>
    <w:rsid w:val="007D0682"/>
    <w:rsid w:val="007D25EE"/>
    <w:rsid w:val="007E66A9"/>
    <w:rsid w:val="007F75CE"/>
    <w:rsid w:val="00803707"/>
    <w:rsid w:val="0081508C"/>
    <w:rsid w:val="008179A8"/>
    <w:rsid w:val="00822148"/>
    <w:rsid w:val="00831C22"/>
    <w:rsid w:val="008348A5"/>
    <w:rsid w:val="00846EE4"/>
    <w:rsid w:val="00853C87"/>
    <w:rsid w:val="00856A04"/>
    <w:rsid w:val="00862B51"/>
    <w:rsid w:val="0086461C"/>
    <w:rsid w:val="008771D2"/>
    <w:rsid w:val="00880D84"/>
    <w:rsid w:val="00887F2E"/>
    <w:rsid w:val="00887FD2"/>
    <w:rsid w:val="008975E4"/>
    <w:rsid w:val="008C50F6"/>
    <w:rsid w:val="008D1E57"/>
    <w:rsid w:val="008D26C7"/>
    <w:rsid w:val="008D449C"/>
    <w:rsid w:val="008D4B26"/>
    <w:rsid w:val="008D7274"/>
    <w:rsid w:val="008D72EA"/>
    <w:rsid w:val="008E4147"/>
    <w:rsid w:val="008F6F19"/>
    <w:rsid w:val="0090034A"/>
    <w:rsid w:val="00901EAB"/>
    <w:rsid w:val="0091299A"/>
    <w:rsid w:val="009163C1"/>
    <w:rsid w:val="00922810"/>
    <w:rsid w:val="00923AE8"/>
    <w:rsid w:val="0092408C"/>
    <w:rsid w:val="009254C1"/>
    <w:rsid w:val="009272C3"/>
    <w:rsid w:val="009327DD"/>
    <w:rsid w:val="0093380A"/>
    <w:rsid w:val="009367C6"/>
    <w:rsid w:val="00945972"/>
    <w:rsid w:val="009621E3"/>
    <w:rsid w:val="00964D2C"/>
    <w:rsid w:val="00975778"/>
    <w:rsid w:val="0097781C"/>
    <w:rsid w:val="009831DD"/>
    <w:rsid w:val="00995A23"/>
    <w:rsid w:val="009978E9"/>
    <w:rsid w:val="00997F2A"/>
    <w:rsid w:val="009A36C0"/>
    <w:rsid w:val="009A52A0"/>
    <w:rsid w:val="009A77CC"/>
    <w:rsid w:val="009A7B57"/>
    <w:rsid w:val="009B13B2"/>
    <w:rsid w:val="009B1D21"/>
    <w:rsid w:val="009B26B9"/>
    <w:rsid w:val="009B467B"/>
    <w:rsid w:val="009B7CF7"/>
    <w:rsid w:val="009C6735"/>
    <w:rsid w:val="009D5EEC"/>
    <w:rsid w:val="009D63BA"/>
    <w:rsid w:val="009E5557"/>
    <w:rsid w:val="009E6F46"/>
    <w:rsid w:val="009F285C"/>
    <w:rsid w:val="009F4A9D"/>
    <w:rsid w:val="00A000F6"/>
    <w:rsid w:val="00A01E57"/>
    <w:rsid w:val="00A14B79"/>
    <w:rsid w:val="00A21B61"/>
    <w:rsid w:val="00A23E8A"/>
    <w:rsid w:val="00A2585A"/>
    <w:rsid w:val="00A35AC7"/>
    <w:rsid w:val="00A40E5E"/>
    <w:rsid w:val="00A44C29"/>
    <w:rsid w:val="00A4650E"/>
    <w:rsid w:val="00A478C1"/>
    <w:rsid w:val="00A53659"/>
    <w:rsid w:val="00A6202E"/>
    <w:rsid w:val="00A62D36"/>
    <w:rsid w:val="00A64D92"/>
    <w:rsid w:val="00A658F5"/>
    <w:rsid w:val="00A66613"/>
    <w:rsid w:val="00A74F79"/>
    <w:rsid w:val="00A86DE1"/>
    <w:rsid w:val="00A90C3C"/>
    <w:rsid w:val="00A92EF2"/>
    <w:rsid w:val="00A957A0"/>
    <w:rsid w:val="00A9585F"/>
    <w:rsid w:val="00A960F5"/>
    <w:rsid w:val="00AA0E73"/>
    <w:rsid w:val="00AA25A0"/>
    <w:rsid w:val="00AB060C"/>
    <w:rsid w:val="00AB06F6"/>
    <w:rsid w:val="00AB55A9"/>
    <w:rsid w:val="00AB62F6"/>
    <w:rsid w:val="00AC0A5D"/>
    <w:rsid w:val="00AC2B4A"/>
    <w:rsid w:val="00AC69BF"/>
    <w:rsid w:val="00AD0D8F"/>
    <w:rsid w:val="00AD33A6"/>
    <w:rsid w:val="00AD6BD1"/>
    <w:rsid w:val="00AF7C45"/>
    <w:rsid w:val="00B10D11"/>
    <w:rsid w:val="00B12302"/>
    <w:rsid w:val="00B145FC"/>
    <w:rsid w:val="00B172C8"/>
    <w:rsid w:val="00B2779E"/>
    <w:rsid w:val="00B315A0"/>
    <w:rsid w:val="00B31FCD"/>
    <w:rsid w:val="00B33B31"/>
    <w:rsid w:val="00B33F79"/>
    <w:rsid w:val="00B37A88"/>
    <w:rsid w:val="00B51451"/>
    <w:rsid w:val="00B61A60"/>
    <w:rsid w:val="00B67DCD"/>
    <w:rsid w:val="00B76FC2"/>
    <w:rsid w:val="00B83F75"/>
    <w:rsid w:val="00B85ECC"/>
    <w:rsid w:val="00B87DF0"/>
    <w:rsid w:val="00B87F78"/>
    <w:rsid w:val="00BA0260"/>
    <w:rsid w:val="00BA09C1"/>
    <w:rsid w:val="00BA1559"/>
    <w:rsid w:val="00BA5575"/>
    <w:rsid w:val="00BA777B"/>
    <w:rsid w:val="00BA7E32"/>
    <w:rsid w:val="00BB6A21"/>
    <w:rsid w:val="00BC433B"/>
    <w:rsid w:val="00BC49C1"/>
    <w:rsid w:val="00BD2829"/>
    <w:rsid w:val="00BD45B6"/>
    <w:rsid w:val="00BD6C45"/>
    <w:rsid w:val="00BD7A67"/>
    <w:rsid w:val="00C02C33"/>
    <w:rsid w:val="00C2642E"/>
    <w:rsid w:val="00C2782D"/>
    <w:rsid w:val="00C366C9"/>
    <w:rsid w:val="00C371BF"/>
    <w:rsid w:val="00C40188"/>
    <w:rsid w:val="00C6334B"/>
    <w:rsid w:val="00C633B9"/>
    <w:rsid w:val="00C66610"/>
    <w:rsid w:val="00C77BCB"/>
    <w:rsid w:val="00C81B9B"/>
    <w:rsid w:val="00C8202A"/>
    <w:rsid w:val="00C863CE"/>
    <w:rsid w:val="00C97B10"/>
    <w:rsid w:val="00CA71E4"/>
    <w:rsid w:val="00CB47CF"/>
    <w:rsid w:val="00CB5D2F"/>
    <w:rsid w:val="00CB5D6F"/>
    <w:rsid w:val="00CC2ECB"/>
    <w:rsid w:val="00CC3D94"/>
    <w:rsid w:val="00CD01B8"/>
    <w:rsid w:val="00CD7AB5"/>
    <w:rsid w:val="00CF54DA"/>
    <w:rsid w:val="00D07388"/>
    <w:rsid w:val="00D13BC4"/>
    <w:rsid w:val="00D157C5"/>
    <w:rsid w:val="00D15C2B"/>
    <w:rsid w:val="00D174F0"/>
    <w:rsid w:val="00D20C0F"/>
    <w:rsid w:val="00D2297E"/>
    <w:rsid w:val="00D24C37"/>
    <w:rsid w:val="00D31B4D"/>
    <w:rsid w:val="00D50817"/>
    <w:rsid w:val="00D519D8"/>
    <w:rsid w:val="00D52115"/>
    <w:rsid w:val="00D53A2D"/>
    <w:rsid w:val="00D576AB"/>
    <w:rsid w:val="00D64D8F"/>
    <w:rsid w:val="00D65850"/>
    <w:rsid w:val="00D67312"/>
    <w:rsid w:val="00D74A4E"/>
    <w:rsid w:val="00D77D59"/>
    <w:rsid w:val="00D85757"/>
    <w:rsid w:val="00D91AAE"/>
    <w:rsid w:val="00D927E2"/>
    <w:rsid w:val="00D92E13"/>
    <w:rsid w:val="00D93204"/>
    <w:rsid w:val="00DA28CE"/>
    <w:rsid w:val="00DB5C47"/>
    <w:rsid w:val="00DB6A00"/>
    <w:rsid w:val="00DC1009"/>
    <w:rsid w:val="00DC5887"/>
    <w:rsid w:val="00DC7AD5"/>
    <w:rsid w:val="00DD4DF9"/>
    <w:rsid w:val="00DD534C"/>
    <w:rsid w:val="00DD77A3"/>
    <w:rsid w:val="00DE03E7"/>
    <w:rsid w:val="00DE1212"/>
    <w:rsid w:val="00DF3B69"/>
    <w:rsid w:val="00DF411A"/>
    <w:rsid w:val="00DF7855"/>
    <w:rsid w:val="00E04F65"/>
    <w:rsid w:val="00E10A43"/>
    <w:rsid w:val="00E1383B"/>
    <w:rsid w:val="00E152C4"/>
    <w:rsid w:val="00E15EB8"/>
    <w:rsid w:val="00E17051"/>
    <w:rsid w:val="00E21CA9"/>
    <w:rsid w:val="00E27713"/>
    <w:rsid w:val="00E334B8"/>
    <w:rsid w:val="00E41156"/>
    <w:rsid w:val="00E42C0C"/>
    <w:rsid w:val="00E511B5"/>
    <w:rsid w:val="00E7295B"/>
    <w:rsid w:val="00E80418"/>
    <w:rsid w:val="00E8043E"/>
    <w:rsid w:val="00E810B5"/>
    <w:rsid w:val="00E8460E"/>
    <w:rsid w:val="00E87E41"/>
    <w:rsid w:val="00E934D0"/>
    <w:rsid w:val="00E96CAC"/>
    <w:rsid w:val="00EA0A7A"/>
    <w:rsid w:val="00EA24E2"/>
    <w:rsid w:val="00EC04FB"/>
    <w:rsid w:val="00EC779C"/>
    <w:rsid w:val="00ED2812"/>
    <w:rsid w:val="00EE4980"/>
    <w:rsid w:val="00EE6852"/>
    <w:rsid w:val="00EF28EC"/>
    <w:rsid w:val="00EF3CBA"/>
    <w:rsid w:val="00F021CD"/>
    <w:rsid w:val="00F146B7"/>
    <w:rsid w:val="00F2492D"/>
    <w:rsid w:val="00F254B0"/>
    <w:rsid w:val="00F2621B"/>
    <w:rsid w:val="00F27227"/>
    <w:rsid w:val="00F358B9"/>
    <w:rsid w:val="00F406AE"/>
    <w:rsid w:val="00F422B7"/>
    <w:rsid w:val="00F429B7"/>
    <w:rsid w:val="00F42A40"/>
    <w:rsid w:val="00F4348C"/>
    <w:rsid w:val="00F44F73"/>
    <w:rsid w:val="00F45704"/>
    <w:rsid w:val="00F56B2E"/>
    <w:rsid w:val="00F61880"/>
    <w:rsid w:val="00F64985"/>
    <w:rsid w:val="00F723AD"/>
    <w:rsid w:val="00F74E86"/>
    <w:rsid w:val="00F767AE"/>
    <w:rsid w:val="00F82FB9"/>
    <w:rsid w:val="00F833C5"/>
    <w:rsid w:val="00F84A60"/>
    <w:rsid w:val="00F877BA"/>
    <w:rsid w:val="00F93E89"/>
    <w:rsid w:val="00F95888"/>
    <w:rsid w:val="00F97776"/>
    <w:rsid w:val="00FA2D7B"/>
    <w:rsid w:val="00FB494E"/>
    <w:rsid w:val="00FB696C"/>
    <w:rsid w:val="00FC7993"/>
    <w:rsid w:val="00FD24C2"/>
    <w:rsid w:val="00FE4689"/>
    <w:rsid w:val="00FE7169"/>
    <w:rsid w:val="00FE7224"/>
    <w:rsid w:val="00FF3198"/>
    <w:rsid w:val="00FF37FC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81F"/>
    <w:pPr>
      <w:spacing w:line="280" w:lineRule="atLeast"/>
    </w:pPr>
    <w:rPr>
      <w:rFonts w:ascii="Garamond" w:hAnsi="Garamond"/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9C6735"/>
    <w:pPr>
      <w:keepNext/>
      <w:spacing w:before="280" w:after="280"/>
      <w:outlineLvl w:val="0"/>
    </w:pPr>
    <w:rPr>
      <w:rFonts w:ascii="Arial" w:hAnsi="Arial" w:cs="Arial"/>
      <w:bCs/>
      <w:kern w:val="28"/>
      <w:sz w:val="26"/>
      <w:szCs w:val="32"/>
    </w:rPr>
  </w:style>
  <w:style w:type="paragraph" w:styleId="Overskrift2">
    <w:name w:val="heading 2"/>
    <w:basedOn w:val="Normal"/>
    <w:next w:val="Normal"/>
    <w:qFormat/>
    <w:rsid w:val="009C6735"/>
    <w:pPr>
      <w:keepNext/>
      <w:spacing w:before="280"/>
      <w:outlineLvl w:val="1"/>
    </w:pPr>
    <w:rPr>
      <w:rFonts w:ascii="Arial" w:hAnsi="Arial" w:cs="Arial"/>
      <w:b/>
      <w:bCs/>
      <w:iCs/>
      <w:kern w:val="28"/>
      <w:sz w:val="20"/>
      <w:szCs w:val="28"/>
    </w:rPr>
  </w:style>
  <w:style w:type="paragraph" w:styleId="Overskrift3">
    <w:name w:val="heading 3"/>
    <w:basedOn w:val="Normal"/>
    <w:next w:val="Normal"/>
    <w:qFormat/>
    <w:rsid w:val="009C6735"/>
    <w:pPr>
      <w:keepNext/>
      <w:spacing w:before="280"/>
      <w:outlineLvl w:val="2"/>
    </w:pPr>
    <w:rPr>
      <w:rFonts w:cs="Arial"/>
      <w:bCs/>
      <w:i/>
      <w:kern w:val="28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32081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2081F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1B2B7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36755"/>
  </w:style>
  <w:style w:type="paragraph" w:customStyle="1" w:styleId="DokTitel">
    <w:name w:val="DokTitel"/>
    <w:basedOn w:val="Normal"/>
    <w:next w:val="Normal"/>
    <w:rsid w:val="003C7A67"/>
    <w:pPr>
      <w:spacing w:line="400" w:lineRule="exact"/>
    </w:pPr>
    <w:rPr>
      <w:rFonts w:ascii="Arial" w:hAnsi="Arial" w:cs="Arial"/>
      <w:sz w:val="40"/>
      <w:szCs w:val="40"/>
    </w:rPr>
  </w:style>
  <w:style w:type="table" w:customStyle="1" w:styleId="OESNotat">
    <w:name w:val="OESNotat"/>
    <w:basedOn w:val="Tabel-Normal"/>
    <w:rsid w:val="00E1383B"/>
    <w:rPr>
      <w:rFonts w:ascii="Garamond" w:hAnsi="Garamond"/>
      <w:sz w:val="24"/>
    </w:rPr>
    <w:tblPr>
      <w:jc w:val="center"/>
      <w:tblCellMar>
        <w:left w:w="0" w:type="dxa"/>
        <w:right w:w="170" w:type="dxa"/>
      </w:tblCellMar>
    </w:tblPr>
    <w:trPr>
      <w:jc w:val="center"/>
    </w:trPr>
    <w:tcPr>
      <w:vAlign w:val="bottom"/>
    </w:tc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rPr>
        <w:rFonts w:ascii="Cambria" w:hAnsi="Cambria"/>
        <w:sz w:val="24"/>
      </w:rPr>
    </w:tblStylePr>
  </w:style>
  <w:style w:type="paragraph" w:customStyle="1" w:styleId="TabelAnmaerkning">
    <w:name w:val="TabelAnmaerkning"/>
    <w:basedOn w:val="Normal"/>
    <w:rsid w:val="00605EC9"/>
    <w:pPr>
      <w:ind w:left="567" w:hanging="567"/>
    </w:pPr>
    <w:rPr>
      <w:sz w:val="20"/>
      <w:szCs w:val="20"/>
      <w:lang w:eastAsia="da-DK"/>
    </w:rPr>
  </w:style>
  <w:style w:type="paragraph" w:customStyle="1" w:styleId="Tabeloverskrift">
    <w:name w:val="Tabeloverskrift"/>
    <w:basedOn w:val="Normal"/>
    <w:rsid w:val="007A716F"/>
    <w:rPr>
      <w:rFonts w:ascii="Arial" w:hAnsi="Arial"/>
      <w:b/>
      <w:sz w:val="18"/>
      <w:lang w:val="en-GB" w:eastAsia="da-DK"/>
    </w:rPr>
  </w:style>
  <w:style w:type="paragraph" w:customStyle="1" w:styleId="Tabeloverskrift2">
    <w:name w:val="Tabeloverskrift2"/>
    <w:basedOn w:val="Normal"/>
    <w:rsid w:val="007A716F"/>
    <w:pPr>
      <w:spacing w:line="240" w:lineRule="auto"/>
    </w:pPr>
    <w:rPr>
      <w:b/>
      <w:noProof/>
      <w:sz w:val="20"/>
      <w:lang w:eastAsia="da-DK"/>
    </w:rPr>
  </w:style>
  <w:style w:type="paragraph" w:customStyle="1" w:styleId="TabelTal">
    <w:name w:val="TabelTal"/>
    <w:basedOn w:val="Normal"/>
    <w:rsid w:val="007A716F"/>
    <w:rPr>
      <w:sz w:val="20"/>
      <w:lang w:val="en-GB" w:eastAsia="da-DK"/>
    </w:rPr>
  </w:style>
  <w:style w:type="paragraph" w:customStyle="1" w:styleId="Tabeltekst">
    <w:name w:val="Tabeltekst"/>
    <w:basedOn w:val="Tabeloverskrift"/>
    <w:rsid w:val="007A716F"/>
    <w:rPr>
      <w:rFonts w:ascii="Garamond" w:hAnsi="Garamond"/>
      <w:b w:val="0"/>
      <w:sz w:val="20"/>
    </w:rPr>
  </w:style>
  <w:style w:type="paragraph" w:customStyle="1" w:styleId="TabelTalOverskrift">
    <w:name w:val="TabelTalOverskrift"/>
    <w:basedOn w:val="TabelTal"/>
    <w:rsid w:val="007A716F"/>
    <w:rPr>
      <w:b/>
      <w:noProof/>
      <w:lang w:val="da-DK"/>
    </w:rPr>
  </w:style>
  <w:style w:type="paragraph" w:styleId="NormalWeb">
    <w:name w:val="Normal (Web)"/>
    <w:basedOn w:val="Normal"/>
    <w:rsid w:val="00F64985"/>
    <w:pPr>
      <w:spacing w:after="100" w:afterAutospacing="1" w:line="240" w:lineRule="auto"/>
    </w:pPr>
    <w:rPr>
      <w:rFonts w:ascii="Times New Roman" w:hAnsi="Times New Roman"/>
      <w:sz w:val="17"/>
      <w:szCs w:val="17"/>
      <w:lang w:eastAsia="da-DK"/>
    </w:rPr>
  </w:style>
  <w:style w:type="character" w:styleId="Fremhv">
    <w:name w:val="Emphasis"/>
    <w:qFormat/>
    <w:rsid w:val="00F64985"/>
    <w:rPr>
      <w:i/>
      <w:iCs/>
    </w:rPr>
  </w:style>
  <w:style w:type="paragraph" w:styleId="Indholdsfortegnelse2">
    <w:name w:val="toc 2"/>
    <w:basedOn w:val="Normal"/>
    <w:next w:val="Normal"/>
    <w:autoRedefine/>
    <w:uiPriority w:val="39"/>
    <w:rsid w:val="00F64985"/>
    <w:pPr>
      <w:spacing w:line="240" w:lineRule="auto"/>
      <w:ind w:left="240"/>
    </w:pPr>
    <w:rPr>
      <w:rFonts w:ascii="Times New Roman" w:hAnsi="Times New Roman"/>
      <w:sz w:val="22"/>
      <w:lang w:eastAsia="da-DK"/>
    </w:rPr>
  </w:style>
  <w:style w:type="character" w:styleId="Hyperlink">
    <w:name w:val="Hyperlink"/>
    <w:uiPriority w:val="99"/>
    <w:rsid w:val="00F64985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F64985"/>
    <w:pPr>
      <w:spacing w:line="240" w:lineRule="auto"/>
    </w:pPr>
    <w:rPr>
      <w:rFonts w:ascii="Times New Roman" w:hAnsi="Times New Roman"/>
      <w:b/>
      <w:sz w:val="22"/>
      <w:lang w:eastAsia="da-DK"/>
    </w:rPr>
  </w:style>
  <w:style w:type="paragraph" w:customStyle="1" w:styleId="paragraftekst">
    <w:name w:val="paragraftekst"/>
    <w:basedOn w:val="Normal"/>
    <w:rsid w:val="00F64985"/>
    <w:pPr>
      <w:spacing w:before="240" w:line="240" w:lineRule="auto"/>
      <w:ind w:firstLine="170"/>
    </w:pPr>
    <w:rPr>
      <w:rFonts w:ascii="Times New Roman" w:hAnsi="Times New Roman"/>
      <w:color w:val="000000"/>
      <w:lang w:eastAsia="da-DK"/>
    </w:rPr>
  </w:style>
  <w:style w:type="paragraph" w:customStyle="1" w:styleId="stk">
    <w:name w:val="stk"/>
    <w:basedOn w:val="Normal"/>
    <w:rsid w:val="00F64985"/>
    <w:pPr>
      <w:spacing w:line="240" w:lineRule="auto"/>
      <w:ind w:firstLine="170"/>
    </w:pPr>
    <w:rPr>
      <w:rFonts w:ascii="Times New Roman" w:hAnsi="Times New Roman"/>
      <w:color w:val="000000"/>
      <w:lang w:eastAsia="da-DK"/>
    </w:rPr>
  </w:style>
  <w:style w:type="paragraph" w:customStyle="1" w:styleId="KIindrykning">
    <w:name w:val="KI indrykning"/>
    <w:basedOn w:val="Normal"/>
    <w:rsid w:val="00F64985"/>
    <w:pPr>
      <w:spacing w:before="40" w:after="40" w:line="240" w:lineRule="auto"/>
      <w:ind w:left="2268"/>
    </w:pPr>
    <w:rPr>
      <w:rFonts w:ascii="Verdana" w:hAnsi="Verdana"/>
      <w:sz w:val="20"/>
      <w:szCs w:val="20"/>
      <w:lang w:eastAsia="da-DK"/>
    </w:rPr>
  </w:style>
  <w:style w:type="character" w:customStyle="1" w:styleId="kortnavn2">
    <w:name w:val="kortnavn2"/>
    <w:rsid w:val="00F64985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Indholdsfortegnelse3">
    <w:name w:val="toc 3"/>
    <w:basedOn w:val="Normal"/>
    <w:next w:val="Normal"/>
    <w:autoRedefine/>
    <w:uiPriority w:val="39"/>
    <w:rsid w:val="00F64985"/>
    <w:pPr>
      <w:ind w:left="480"/>
    </w:pPr>
  </w:style>
  <w:style w:type="paragraph" w:customStyle="1" w:styleId="titel2">
    <w:name w:val="titel2"/>
    <w:basedOn w:val="Normal"/>
    <w:rsid w:val="00587481"/>
    <w:pPr>
      <w:spacing w:before="200" w:after="200" w:line="240" w:lineRule="auto"/>
      <w:jc w:val="center"/>
    </w:pPr>
    <w:rPr>
      <w:rFonts w:ascii="Tahoma" w:hAnsi="Tahoma" w:cs="Tahoma"/>
      <w:color w:val="000000"/>
      <w:sz w:val="40"/>
      <w:szCs w:val="40"/>
      <w:lang w:eastAsia="da-DK"/>
    </w:rPr>
  </w:style>
  <w:style w:type="character" w:customStyle="1" w:styleId="googqs-tidbit-0">
    <w:name w:val="goog_qs-tidbit-0"/>
    <w:rsid w:val="0054216A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Default">
    <w:name w:val="Default"/>
    <w:rsid w:val="00ED28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933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3380A"/>
    <w:rPr>
      <w:rFonts w:ascii="Tahoma" w:hAnsi="Tahoma" w:cs="Tahoma"/>
      <w:sz w:val="16"/>
      <w:szCs w:val="16"/>
      <w:lang w:eastAsia="en-US"/>
    </w:rPr>
  </w:style>
  <w:style w:type="paragraph" w:styleId="Opstilling-talellerbogst">
    <w:name w:val="List Number"/>
    <w:basedOn w:val="Normal"/>
    <w:rsid w:val="001F2E13"/>
    <w:pPr>
      <w:numPr>
        <w:numId w:val="30"/>
      </w:numPr>
      <w:contextualSpacing/>
    </w:pPr>
  </w:style>
  <w:style w:type="paragraph" w:customStyle="1" w:styleId="paragraf">
    <w:name w:val="paragraf"/>
    <w:basedOn w:val="Normal"/>
    <w:rsid w:val="00C6334B"/>
    <w:pPr>
      <w:spacing w:before="200" w:line="240" w:lineRule="auto"/>
      <w:ind w:firstLine="240"/>
    </w:pPr>
    <w:rPr>
      <w:rFonts w:ascii="Tahoma" w:hAnsi="Tahoma" w:cs="Tahoma"/>
      <w:color w:val="000000"/>
      <w:lang w:eastAsia="da-DK"/>
    </w:rPr>
  </w:style>
  <w:style w:type="character" w:customStyle="1" w:styleId="paragrafnr1">
    <w:name w:val="paragrafnr1"/>
    <w:rsid w:val="00C6334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Titel">
    <w:name w:val="Title"/>
    <w:basedOn w:val="Normal"/>
    <w:next w:val="Normal"/>
    <w:link w:val="TitelTegn"/>
    <w:qFormat/>
    <w:rsid w:val="007B3A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B3A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81F"/>
    <w:pPr>
      <w:spacing w:line="280" w:lineRule="atLeast"/>
    </w:pPr>
    <w:rPr>
      <w:rFonts w:ascii="Garamond" w:hAnsi="Garamond"/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9C6735"/>
    <w:pPr>
      <w:keepNext/>
      <w:spacing w:before="280" w:after="280"/>
      <w:outlineLvl w:val="0"/>
    </w:pPr>
    <w:rPr>
      <w:rFonts w:ascii="Arial" w:hAnsi="Arial" w:cs="Arial"/>
      <w:bCs/>
      <w:kern w:val="28"/>
      <w:sz w:val="26"/>
      <w:szCs w:val="32"/>
    </w:rPr>
  </w:style>
  <w:style w:type="paragraph" w:styleId="Overskrift2">
    <w:name w:val="heading 2"/>
    <w:basedOn w:val="Normal"/>
    <w:next w:val="Normal"/>
    <w:qFormat/>
    <w:rsid w:val="009C6735"/>
    <w:pPr>
      <w:keepNext/>
      <w:spacing w:before="280"/>
      <w:outlineLvl w:val="1"/>
    </w:pPr>
    <w:rPr>
      <w:rFonts w:ascii="Arial" w:hAnsi="Arial" w:cs="Arial"/>
      <w:b/>
      <w:bCs/>
      <w:iCs/>
      <w:kern w:val="28"/>
      <w:sz w:val="20"/>
      <w:szCs w:val="28"/>
    </w:rPr>
  </w:style>
  <w:style w:type="paragraph" w:styleId="Overskrift3">
    <w:name w:val="heading 3"/>
    <w:basedOn w:val="Normal"/>
    <w:next w:val="Normal"/>
    <w:qFormat/>
    <w:rsid w:val="009C6735"/>
    <w:pPr>
      <w:keepNext/>
      <w:spacing w:before="280"/>
      <w:outlineLvl w:val="2"/>
    </w:pPr>
    <w:rPr>
      <w:rFonts w:cs="Arial"/>
      <w:bCs/>
      <w:i/>
      <w:kern w:val="28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32081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2081F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1B2B7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36755"/>
  </w:style>
  <w:style w:type="paragraph" w:customStyle="1" w:styleId="DokTitel">
    <w:name w:val="DokTitel"/>
    <w:basedOn w:val="Normal"/>
    <w:next w:val="Normal"/>
    <w:rsid w:val="003C7A67"/>
    <w:pPr>
      <w:spacing w:line="400" w:lineRule="exact"/>
    </w:pPr>
    <w:rPr>
      <w:rFonts w:ascii="Arial" w:hAnsi="Arial" w:cs="Arial"/>
      <w:sz w:val="40"/>
      <w:szCs w:val="40"/>
    </w:rPr>
  </w:style>
  <w:style w:type="table" w:customStyle="1" w:styleId="OESNotat">
    <w:name w:val="OESNotat"/>
    <w:basedOn w:val="Tabel-Normal"/>
    <w:rsid w:val="00E1383B"/>
    <w:rPr>
      <w:rFonts w:ascii="Garamond" w:hAnsi="Garamond"/>
      <w:sz w:val="24"/>
    </w:rPr>
    <w:tblPr>
      <w:jc w:val="center"/>
      <w:tblCellMar>
        <w:left w:w="0" w:type="dxa"/>
        <w:right w:w="170" w:type="dxa"/>
      </w:tblCellMar>
    </w:tblPr>
    <w:trPr>
      <w:jc w:val="center"/>
    </w:trPr>
    <w:tcPr>
      <w:vAlign w:val="bottom"/>
    </w:tc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rPr>
        <w:rFonts w:ascii="Cambria" w:hAnsi="Cambria"/>
        <w:sz w:val="24"/>
      </w:rPr>
    </w:tblStylePr>
  </w:style>
  <w:style w:type="paragraph" w:customStyle="1" w:styleId="TabelAnmaerkning">
    <w:name w:val="TabelAnmaerkning"/>
    <w:basedOn w:val="Normal"/>
    <w:rsid w:val="00605EC9"/>
    <w:pPr>
      <w:ind w:left="567" w:hanging="567"/>
    </w:pPr>
    <w:rPr>
      <w:sz w:val="20"/>
      <w:szCs w:val="20"/>
      <w:lang w:eastAsia="da-DK"/>
    </w:rPr>
  </w:style>
  <w:style w:type="paragraph" w:customStyle="1" w:styleId="Tabeloverskrift">
    <w:name w:val="Tabeloverskrift"/>
    <w:basedOn w:val="Normal"/>
    <w:rsid w:val="007A716F"/>
    <w:rPr>
      <w:rFonts w:ascii="Arial" w:hAnsi="Arial"/>
      <w:b/>
      <w:sz w:val="18"/>
      <w:lang w:val="en-GB" w:eastAsia="da-DK"/>
    </w:rPr>
  </w:style>
  <w:style w:type="paragraph" w:customStyle="1" w:styleId="Tabeloverskrift2">
    <w:name w:val="Tabeloverskrift2"/>
    <w:basedOn w:val="Normal"/>
    <w:rsid w:val="007A716F"/>
    <w:pPr>
      <w:spacing w:line="240" w:lineRule="auto"/>
    </w:pPr>
    <w:rPr>
      <w:b/>
      <w:noProof/>
      <w:sz w:val="20"/>
      <w:lang w:eastAsia="da-DK"/>
    </w:rPr>
  </w:style>
  <w:style w:type="paragraph" w:customStyle="1" w:styleId="TabelTal">
    <w:name w:val="TabelTal"/>
    <w:basedOn w:val="Normal"/>
    <w:rsid w:val="007A716F"/>
    <w:rPr>
      <w:sz w:val="20"/>
      <w:lang w:val="en-GB" w:eastAsia="da-DK"/>
    </w:rPr>
  </w:style>
  <w:style w:type="paragraph" w:customStyle="1" w:styleId="Tabeltekst">
    <w:name w:val="Tabeltekst"/>
    <w:basedOn w:val="Tabeloverskrift"/>
    <w:rsid w:val="007A716F"/>
    <w:rPr>
      <w:rFonts w:ascii="Garamond" w:hAnsi="Garamond"/>
      <w:b w:val="0"/>
      <w:sz w:val="20"/>
    </w:rPr>
  </w:style>
  <w:style w:type="paragraph" w:customStyle="1" w:styleId="TabelTalOverskrift">
    <w:name w:val="TabelTalOverskrift"/>
    <w:basedOn w:val="TabelTal"/>
    <w:rsid w:val="007A716F"/>
    <w:rPr>
      <w:b/>
      <w:noProof/>
      <w:lang w:val="da-DK"/>
    </w:rPr>
  </w:style>
  <w:style w:type="paragraph" w:styleId="NormalWeb">
    <w:name w:val="Normal (Web)"/>
    <w:basedOn w:val="Normal"/>
    <w:rsid w:val="00F64985"/>
    <w:pPr>
      <w:spacing w:after="100" w:afterAutospacing="1" w:line="240" w:lineRule="auto"/>
    </w:pPr>
    <w:rPr>
      <w:rFonts w:ascii="Times New Roman" w:hAnsi="Times New Roman"/>
      <w:sz w:val="17"/>
      <w:szCs w:val="17"/>
      <w:lang w:eastAsia="da-DK"/>
    </w:rPr>
  </w:style>
  <w:style w:type="character" w:styleId="Fremhv">
    <w:name w:val="Emphasis"/>
    <w:qFormat/>
    <w:rsid w:val="00F64985"/>
    <w:rPr>
      <w:i/>
      <w:iCs/>
    </w:rPr>
  </w:style>
  <w:style w:type="paragraph" w:styleId="Indholdsfortegnelse2">
    <w:name w:val="toc 2"/>
    <w:basedOn w:val="Normal"/>
    <w:next w:val="Normal"/>
    <w:autoRedefine/>
    <w:uiPriority w:val="39"/>
    <w:rsid w:val="00F64985"/>
    <w:pPr>
      <w:spacing w:line="240" w:lineRule="auto"/>
      <w:ind w:left="240"/>
    </w:pPr>
    <w:rPr>
      <w:rFonts w:ascii="Times New Roman" w:hAnsi="Times New Roman"/>
      <w:sz w:val="22"/>
      <w:lang w:eastAsia="da-DK"/>
    </w:rPr>
  </w:style>
  <w:style w:type="character" w:styleId="Hyperlink">
    <w:name w:val="Hyperlink"/>
    <w:uiPriority w:val="99"/>
    <w:rsid w:val="00F64985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F64985"/>
    <w:pPr>
      <w:spacing w:line="240" w:lineRule="auto"/>
    </w:pPr>
    <w:rPr>
      <w:rFonts w:ascii="Times New Roman" w:hAnsi="Times New Roman"/>
      <w:b/>
      <w:sz w:val="22"/>
      <w:lang w:eastAsia="da-DK"/>
    </w:rPr>
  </w:style>
  <w:style w:type="paragraph" w:customStyle="1" w:styleId="paragraftekst">
    <w:name w:val="paragraftekst"/>
    <w:basedOn w:val="Normal"/>
    <w:rsid w:val="00F64985"/>
    <w:pPr>
      <w:spacing w:before="240" w:line="240" w:lineRule="auto"/>
      <w:ind w:firstLine="170"/>
    </w:pPr>
    <w:rPr>
      <w:rFonts w:ascii="Times New Roman" w:hAnsi="Times New Roman"/>
      <w:color w:val="000000"/>
      <w:lang w:eastAsia="da-DK"/>
    </w:rPr>
  </w:style>
  <w:style w:type="paragraph" w:customStyle="1" w:styleId="stk">
    <w:name w:val="stk"/>
    <w:basedOn w:val="Normal"/>
    <w:rsid w:val="00F64985"/>
    <w:pPr>
      <w:spacing w:line="240" w:lineRule="auto"/>
      <w:ind w:firstLine="170"/>
    </w:pPr>
    <w:rPr>
      <w:rFonts w:ascii="Times New Roman" w:hAnsi="Times New Roman"/>
      <w:color w:val="000000"/>
      <w:lang w:eastAsia="da-DK"/>
    </w:rPr>
  </w:style>
  <w:style w:type="paragraph" w:customStyle="1" w:styleId="KIindrykning">
    <w:name w:val="KI indrykning"/>
    <w:basedOn w:val="Normal"/>
    <w:rsid w:val="00F64985"/>
    <w:pPr>
      <w:spacing w:before="40" w:after="40" w:line="240" w:lineRule="auto"/>
      <w:ind w:left="2268"/>
    </w:pPr>
    <w:rPr>
      <w:rFonts w:ascii="Verdana" w:hAnsi="Verdana"/>
      <w:sz w:val="20"/>
      <w:szCs w:val="20"/>
      <w:lang w:eastAsia="da-DK"/>
    </w:rPr>
  </w:style>
  <w:style w:type="character" w:customStyle="1" w:styleId="kortnavn2">
    <w:name w:val="kortnavn2"/>
    <w:rsid w:val="00F64985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Indholdsfortegnelse3">
    <w:name w:val="toc 3"/>
    <w:basedOn w:val="Normal"/>
    <w:next w:val="Normal"/>
    <w:autoRedefine/>
    <w:uiPriority w:val="39"/>
    <w:rsid w:val="00F64985"/>
    <w:pPr>
      <w:ind w:left="480"/>
    </w:pPr>
  </w:style>
  <w:style w:type="paragraph" w:customStyle="1" w:styleId="titel2">
    <w:name w:val="titel2"/>
    <w:basedOn w:val="Normal"/>
    <w:rsid w:val="00587481"/>
    <w:pPr>
      <w:spacing w:before="200" w:after="200" w:line="240" w:lineRule="auto"/>
      <w:jc w:val="center"/>
    </w:pPr>
    <w:rPr>
      <w:rFonts w:ascii="Tahoma" w:hAnsi="Tahoma" w:cs="Tahoma"/>
      <w:color w:val="000000"/>
      <w:sz w:val="40"/>
      <w:szCs w:val="40"/>
      <w:lang w:eastAsia="da-DK"/>
    </w:rPr>
  </w:style>
  <w:style w:type="character" w:customStyle="1" w:styleId="googqs-tidbit-0">
    <w:name w:val="goog_qs-tidbit-0"/>
    <w:rsid w:val="0054216A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Default">
    <w:name w:val="Default"/>
    <w:rsid w:val="00ED28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933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3380A"/>
    <w:rPr>
      <w:rFonts w:ascii="Tahoma" w:hAnsi="Tahoma" w:cs="Tahoma"/>
      <w:sz w:val="16"/>
      <w:szCs w:val="16"/>
      <w:lang w:eastAsia="en-US"/>
    </w:rPr>
  </w:style>
  <w:style w:type="paragraph" w:styleId="Opstilling-talellerbogst">
    <w:name w:val="List Number"/>
    <w:basedOn w:val="Normal"/>
    <w:rsid w:val="001F2E13"/>
    <w:pPr>
      <w:numPr>
        <w:numId w:val="30"/>
      </w:numPr>
      <w:contextualSpacing/>
    </w:pPr>
  </w:style>
  <w:style w:type="paragraph" w:customStyle="1" w:styleId="paragraf">
    <w:name w:val="paragraf"/>
    <w:basedOn w:val="Normal"/>
    <w:rsid w:val="00C6334B"/>
    <w:pPr>
      <w:spacing w:before="200" w:line="240" w:lineRule="auto"/>
      <w:ind w:firstLine="240"/>
    </w:pPr>
    <w:rPr>
      <w:rFonts w:ascii="Tahoma" w:hAnsi="Tahoma" w:cs="Tahoma"/>
      <w:color w:val="000000"/>
      <w:lang w:eastAsia="da-DK"/>
    </w:rPr>
  </w:style>
  <w:style w:type="character" w:customStyle="1" w:styleId="paragrafnr1">
    <w:name w:val="paragrafnr1"/>
    <w:rsid w:val="00C6334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Titel">
    <w:name w:val="Title"/>
    <w:basedOn w:val="Normal"/>
    <w:next w:val="Normal"/>
    <w:link w:val="TitelTegn"/>
    <w:qFormat/>
    <w:rsid w:val="007B3A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B3A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77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220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0967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8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99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03607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69798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63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42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4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24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2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5004</CharactersWithSpaces>
  <SharedDoc>false</SharedDoc>
  <HLinks>
    <vt:vector size="24" baseType="variant"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_Toc513031534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_Toc513031533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_Toc513031532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_Toc513031531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2018-07-02T15:45:00Z</dcterms:created>
  <dcterms:modified xsi:type="dcterms:W3CDTF">2018-07-02T15:45:00Z</dcterms:modified>
</cp:coreProperties>
</file>